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04" w:rsidRDefault="00DF00A4">
      <w:pPr>
        <w:spacing w:before="200" w:after="240"/>
        <w:jc w:val="center"/>
        <w:rPr>
          <w:rFonts w:ascii="Verdana" w:eastAsia="Verdana" w:hAnsi="Verdana" w:cs="Verdana"/>
          <w:b/>
          <w:sz w:val="24"/>
          <w:szCs w:val="24"/>
        </w:rPr>
      </w:pPr>
      <w:bookmarkStart w:id="0" w:name="_GoBack"/>
      <w:bookmarkEnd w:id="0"/>
      <w:r>
        <w:rPr>
          <w:rFonts w:ascii="Verdana" w:eastAsia="Verdana" w:hAnsi="Verdana" w:cs="Verdana"/>
          <w:b/>
          <w:sz w:val="24"/>
          <w:szCs w:val="24"/>
        </w:rPr>
        <w:t>Estudo Técnico Preliminar</w:t>
      </w:r>
    </w:p>
    <w:p w:rsidR="006A7F04" w:rsidRDefault="006A7F04">
      <w:pPr>
        <w:spacing w:before="200" w:after="240"/>
        <w:jc w:val="center"/>
        <w:rPr>
          <w:rFonts w:ascii="Verdana" w:eastAsia="Verdana" w:hAnsi="Verdana" w:cs="Verdana"/>
          <w:sz w:val="24"/>
          <w:szCs w:val="24"/>
        </w:rPr>
      </w:pPr>
    </w:p>
    <w:p w:rsidR="006A7F04" w:rsidRDefault="00DF00A4">
      <w:pPr>
        <w:spacing w:before="200" w:line="360" w:lineRule="auto"/>
        <w:ind w:left="20"/>
        <w:jc w:val="both"/>
        <w:rPr>
          <w:rFonts w:ascii="Verdana" w:eastAsia="Verdana" w:hAnsi="Verdana" w:cs="Verdana"/>
          <w:b/>
          <w:sz w:val="24"/>
          <w:szCs w:val="24"/>
        </w:rPr>
      </w:pPr>
      <w:r>
        <w:rPr>
          <w:rFonts w:ascii="Verdana" w:eastAsia="Verdana" w:hAnsi="Verdana" w:cs="Verdana"/>
          <w:b/>
          <w:sz w:val="24"/>
          <w:szCs w:val="24"/>
        </w:rPr>
        <w:t>1. Objeto</w:t>
      </w:r>
    </w:p>
    <w:p w:rsidR="006A7F04" w:rsidRDefault="00DF00A4">
      <w:pPr>
        <w:spacing w:before="200" w:line="360" w:lineRule="auto"/>
        <w:jc w:val="both"/>
        <w:rPr>
          <w:rFonts w:ascii="Verdana" w:eastAsia="Verdana" w:hAnsi="Verdana" w:cs="Verdana"/>
          <w:sz w:val="24"/>
          <w:szCs w:val="24"/>
        </w:rPr>
      </w:pPr>
      <w:r>
        <w:rPr>
          <w:rFonts w:ascii="Verdana" w:eastAsia="Verdana" w:hAnsi="Verdana" w:cs="Verdana"/>
          <w:sz w:val="24"/>
          <w:szCs w:val="24"/>
        </w:rPr>
        <w:t xml:space="preserve">Trata-se da contratação de fornecimento de refeições em </w:t>
      </w:r>
      <w:proofErr w:type="spellStart"/>
      <w:r>
        <w:rPr>
          <w:rFonts w:ascii="Verdana" w:eastAsia="Verdana" w:hAnsi="Verdana" w:cs="Verdana"/>
          <w:sz w:val="24"/>
          <w:szCs w:val="24"/>
        </w:rPr>
        <w:t>marmitex</w:t>
      </w:r>
      <w:proofErr w:type="spellEnd"/>
      <w:r>
        <w:rPr>
          <w:rFonts w:ascii="Verdana" w:eastAsia="Verdana" w:hAnsi="Verdana" w:cs="Verdana"/>
          <w:sz w:val="24"/>
          <w:szCs w:val="24"/>
        </w:rPr>
        <w:t xml:space="preserve"> </w:t>
      </w:r>
      <w:proofErr w:type="gramStart"/>
      <w:r>
        <w:rPr>
          <w:rFonts w:ascii="Verdana" w:eastAsia="Verdana" w:hAnsi="Verdana" w:cs="Verdana"/>
          <w:sz w:val="24"/>
          <w:szCs w:val="24"/>
        </w:rPr>
        <w:t>completas</w:t>
      </w:r>
      <w:proofErr w:type="gramEnd"/>
      <w:r>
        <w:rPr>
          <w:rFonts w:ascii="Verdana" w:eastAsia="Verdana" w:hAnsi="Verdana" w:cs="Verdana"/>
          <w:sz w:val="24"/>
          <w:szCs w:val="24"/>
        </w:rPr>
        <w:t xml:space="preserve"> devidamente acondicionada em embalagem descartável e térmica de isopor com divisórias e tampa, tamanho médio, servidas de acordo com buffet disponível, a qual visa atender a demanda</w:t>
      </w:r>
      <w:r>
        <w:rPr>
          <w:rFonts w:ascii="Verdana" w:eastAsia="Verdana" w:hAnsi="Verdana" w:cs="Verdana"/>
          <w:sz w:val="24"/>
          <w:szCs w:val="24"/>
        </w:rPr>
        <w:t xml:space="preserve"> da Secretaria de Infraestrutura.</w:t>
      </w:r>
    </w:p>
    <w:p w:rsidR="006A7F04" w:rsidRDefault="00DF00A4">
      <w:pPr>
        <w:spacing w:before="200" w:line="360" w:lineRule="auto"/>
        <w:jc w:val="both"/>
        <w:rPr>
          <w:rFonts w:ascii="Verdana" w:eastAsia="Verdana" w:hAnsi="Verdana" w:cs="Verdana"/>
          <w:b/>
          <w:sz w:val="24"/>
          <w:szCs w:val="24"/>
        </w:rPr>
      </w:pPr>
      <w:r>
        <w:rPr>
          <w:rFonts w:ascii="Verdana" w:eastAsia="Verdana" w:hAnsi="Verdana" w:cs="Verdana"/>
          <w:b/>
          <w:sz w:val="24"/>
          <w:szCs w:val="24"/>
        </w:rPr>
        <w:t>2. Local de Entrega</w:t>
      </w:r>
    </w:p>
    <w:p w:rsidR="006A7F04" w:rsidRDefault="00DF00A4">
      <w:pPr>
        <w:spacing w:line="360" w:lineRule="auto"/>
        <w:jc w:val="both"/>
        <w:rPr>
          <w:rFonts w:ascii="Verdana" w:eastAsia="Verdana" w:hAnsi="Verdana" w:cs="Verdana"/>
          <w:sz w:val="24"/>
          <w:szCs w:val="24"/>
        </w:rPr>
      </w:pPr>
      <w:r>
        <w:rPr>
          <w:rFonts w:ascii="Verdana" w:eastAsia="Verdana" w:hAnsi="Verdana" w:cs="Verdana"/>
          <w:sz w:val="24"/>
          <w:szCs w:val="24"/>
        </w:rPr>
        <w:t>O serviço será prestado partindo da solicitação da secretaria competente.</w:t>
      </w:r>
    </w:p>
    <w:p w:rsidR="006A7F04" w:rsidRDefault="00DF00A4">
      <w:pPr>
        <w:spacing w:before="200" w:line="360" w:lineRule="auto"/>
        <w:ind w:left="20"/>
        <w:jc w:val="both"/>
        <w:rPr>
          <w:rFonts w:ascii="Verdana" w:eastAsia="Verdana" w:hAnsi="Verdana" w:cs="Verdana"/>
          <w:b/>
          <w:sz w:val="24"/>
          <w:szCs w:val="24"/>
        </w:rPr>
      </w:pPr>
      <w:r>
        <w:rPr>
          <w:rFonts w:ascii="Verdana" w:eastAsia="Verdana" w:hAnsi="Verdana" w:cs="Verdana"/>
          <w:b/>
          <w:sz w:val="24"/>
          <w:szCs w:val="24"/>
        </w:rPr>
        <w:t>3. Contato</w:t>
      </w:r>
    </w:p>
    <w:p w:rsidR="006A7F04" w:rsidRDefault="00DF00A4">
      <w:pPr>
        <w:spacing w:before="200" w:after="200" w:line="360" w:lineRule="auto"/>
        <w:rPr>
          <w:rFonts w:ascii="Verdana" w:eastAsia="Verdana" w:hAnsi="Verdana" w:cs="Verdana"/>
          <w:sz w:val="24"/>
          <w:szCs w:val="24"/>
        </w:rPr>
      </w:pPr>
      <w:r>
        <w:rPr>
          <w:rFonts w:ascii="Verdana" w:eastAsia="Verdana" w:hAnsi="Verdana" w:cs="Verdana"/>
          <w:sz w:val="24"/>
          <w:szCs w:val="24"/>
        </w:rPr>
        <w:t xml:space="preserve">Responsável: Eduardo </w:t>
      </w:r>
      <w:proofErr w:type="spellStart"/>
      <w:r>
        <w:rPr>
          <w:rFonts w:ascii="Verdana" w:eastAsia="Verdana" w:hAnsi="Verdana" w:cs="Verdana"/>
          <w:sz w:val="24"/>
          <w:szCs w:val="24"/>
        </w:rPr>
        <w:t>Palaoro</w:t>
      </w:r>
      <w:proofErr w:type="spellEnd"/>
    </w:p>
    <w:p w:rsidR="006A7F04" w:rsidRDefault="00DF00A4">
      <w:pPr>
        <w:spacing w:before="200" w:after="200" w:line="360" w:lineRule="auto"/>
        <w:rPr>
          <w:rFonts w:ascii="Verdana" w:eastAsia="Verdana" w:hAnsi="Verdana" w:cs="Verdana"/>
          <w:sz w:val="24"/>
          <w:szCs w:val="24"/>
        </w:rPr>
      </w:pPr>
      <w:r>
        <w:rPr>
          <w:rFonts w:ascii="Verdana" w:eastAsia="Verdana" w:hAnsi="Verdana" w:cs="Verdana"/>
          <w:sz w:val="24"/>
          <w:szCs w:val="24"/>
        </w:rPr>
        <w:t>E-mail: tedescol048@gmail.com</w:t>
      </w:r>
    </w:p>
    <w:p w:rsidR="006A7F04" w:rsidRDefault="00DF00A4">
      <w:pPr>
        <w:spacing w:before="200" w:after="200" w:line="360" w:lineRule="auto"/>
        <w:rPr>
          <w:rFonts w:ascii="Verdana" w:eastAsia="Verdana" w:hAnsi="Verdana" w:cs="Verdana"/>
          <w:sz w:val="24"/>
          <w:szCs w:val="24"/>
        </w:rPr>
      </w:pPr>
      <w:r>
        <w:rPr>
          <w:rFonts w:ascii="Verdana" w:eastAsia="Verdana" w:hAnsi="Verdana" w:cs="Verdana"/>
          <w:sz w:val="24"/>
          <w:szCs w:val="24"/>
        </w:rPr>
        <w:t>Telefone: (49) 998205438</w:t>
      </w:r>
    </w:p>
    <w:p w:rsidR="006A7F04" w:rsidRDefault="00DF00A4">
      <w:pPr>
        <w:spacing w:before="200" w:after="200" w:line="360" w:lineRule="auto"/>
        <w:rPr>
          <w:rFonts w:ascii="Verdana" w:eastAsia="Verdana" w:hAnsi="Verdana" w:cs="Verdana"/>
          <w:b/>
          <w:sz w:val="24"/>
          <w:szCs w:val="24"/>
        </w:rPr>
      </w:pPr>
      <w:r>
        <w:rPr>
          <w:rFonts w:ascii="Verdana" w:eastAsia="Verdana" w:hAnsi="Verdana" w:cs="Verdana"/>
          <w:b/>
          <w:sz w:val="24"/>
          <w:szCs w:val="24"/>
        </w:rPr>
        <w:t>4. Introdução</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sz w:val="24"/>
          <w:szCs w:val="24"/>
        </w:rPr>
        <w:t>O presente document</w:t>
      </w:r>
      <w:r>
        <w:rPr>
          <w:rFonts w:ascii="Verdana" w:eastAsia="Verdana" w:hAnsi="Verdana" w:cs="Verdana"/>
          <w:sz w:val="24"/>
          <w:szCs w:val="24"/>
        </w:rPr>
        <w:t>o caracteriza a primeira etapa da fase de planejamento e apresenta os devidos estudos para a contratação de solução que atenderá à necessidade abaixo especificada.</w:t>
      </w:r>
    </w:p>
    <w:p w:rsidR="006A7F04" w:rsidRDefault="00DF00A4">
      <w:pPr>
        <w:spacing w:after="240" w:line="360" w:lineRule="auto"/>
        <w:jc w:val="both"/>
        <w:rPr>
          <w:rFonts w:ascii="Verdana" w:eastAsia="Verdana" w:hAnsi="Verdana" w:cs="Verdana"/>
          <w:sz w:val="24"/>
          <w:szCs w:val="24"/>
        </w:rPr>
      </w:pPr>
      <w:r>
        <w:rPr>
          <w:rFonts w:ascii="Verdana" w:eastAsia="Verdana" w:hAnsi="Verdana" w:cs="Verdana"/>
          <w:sz w:val="24"/>
          <w:szCs w:val="24"/>
        </w:rPr>
        <w:t>O objetivo principal é estudar detalhadamente a necessidade de identificar no mercado a melh</w:t>
      </w:r>
      <w:r>
        <w:rPr>
          <w:rFonts w:ascii="Verdana" w:eastAsia="Verdana" w:hAnsi="Verdana" w:cs="Verdana"/>
          <w:sz w:val="24"/>
          <w:szCs w:val="24"/>
        </w:rPr>
        <w:t>or solução para supri-la, em observância às normas vigentes e aos princípios que regem a Administração Pública.</w:t>
      </w:r>
    </w:p>
    <w:p w:rsidR="006A7F04" w:rsidRDefault="00DF00A4">
      <w:pPr>
        <w:spacing w:before="200" w:line="360" w:lineRule="auto"/>
        <w:ind w:left="20"/>
        <w:jc w:val="both"/>
        <w:rPr>
          <w:rFonts w:ascii="Verdana" w:eastAsia="Verdana" w:hAnsi="Verdana" w:cs="Verdana"/>
          <w:b/>
          <w:sz w:val="24"/>
          <w:szCs w:val="24"/>
        </w:rPr>
      </w:pPr>
      <w:r>
        <w:rPr>
          <w:rFonts w:ascii="Verdana" w:eastAsia="Verdana" w:hAnsi="Verdana" w:cs="Verdana"/>
          <w:b/>
          <w:sz w:val="24"/>
          <w:szCs w:val="24"/>
        </w:rPr>
        <w:t>5. Descrição da necessidade</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b/>
          <w:sz w:val="24"/>
          <w:szCs w:val="24"/>
        </w:rPr>
        <w:t>Fundamentação:</w:t>
      </w:r>
      <w:r>
        <w:rPr>
          <w:rFonts w:ascii="Verdana" w:eastAsia="Verdana" w:hAnsi="Verdana" w:cs="Verdana"/>
          <w:sz w:val="24"/>
          <w:szCs w:val="24"/>
        </w:rPr>
        <w:t xml:space="preserve"> Descrição da necessidade da contratação, considerado o problema a ser resolvido sob a perspectiva do </w:t>
      </w:r>
      <w:r>
        <w:rPr>
          <w:rFonts w:ascii="Verdana" w:eastAsia="Verdana" w:hAnsi="Verdana" w:cs="Verdana"/>
          <w:sz w:val="24"/>
          <w:szCs w:val="24"/>
        </w:rPr>
        <w:t>interesse público. (inciso I do § 1° do art. 18 da Lei 14.133/2021 e art. 7°, inciso I da IN 40/2020).</w:t>
      </w:r>
    </w:p>
    <w:p w:rsidR="006A7F04" w:rsidRDefault="00DF00A4">
      <w:pPr>
        <w:spacing w:before="200" w:line="360" w:lineRule="auto"/>
        <w:jc w:val="both"/>
        <w:rPr>
          <w:rFonts w:ascii="Verdana" w:eastAsia="Verdana" w:hAnsi="Verdana" w:cs="Verdana"/>
          <w:sz w:val="24"/>
          <w:szCs w:val="24"/>
        </w:rPr>
      </w:pPr>
      <w:r>
        <w:rPr>
          <w:rFonts w:ascii="Verdana" w:eastAsia="Verdana" w:hAnsi="Verdana" w:cs="Verdana"/>
          <w:sz w:val="24"/>
          <w:szCs w:val="24"/>
        </w:rPr>
        <w:lastRenderedPageBreak/>
        <w:t>A presente contratação se faz necessária uma vez que os servidores que realizam serviços no interior de Abelardo Luz e não conseguem retornar para suas c</w:t>
      </w:r>
      <w:r>
        <w:rPr>
          <w:rFonts w:ascii="Verdana" w:eastAsia="Verdana" w:hAnsi="Verdana" w:cs="Verdana"/>
          <w:sz w:val="24"/>
          <w:szCs w:val="24"/>
        </w:rPr>
        <w:t xml:space="preserve">asas no horário de almoço, isso se dá devido </w:t>
      </w:r>
      <w:proofErr w:type="gramStart"/>
      <w:r>
        <w:rPr>
          <w:rFonts w:ascii="Verdana" w:eastAsia="Verdana" w:hAnsi="Verdana" w:cs="Verdana"/>
          <w:sz w:val="24"/>
          <w:szCs w:val="24"/>
        </w:rPr>
        <w:t>a</w:t>
      </w:r>
      <w:proofErr w:type="gramEnd"/>
      <w:r>
        <w:rPr>
          <w:rFonts w:ascii="Verdana" w:eastAsia="Verdana" w:hAnsi="Verdana" w:cs="Verdana"/>
          <w:sz w:val="24"/>
          <w:szCs w:val="24"/>
        </w:rPr>
        <w:t xml:space="preserve"> distância dos locais de trabalho.</w:t>
      </w:r>
    </w:p>
    <w:p w:rsidR="006A7F04" w:rsidRDefault="00DF00A4">
      <w:pPr>
        <w:spacing w:before="200" w:line="360" w:lineRule="auto"/>
        <w:jc w:val="both"/>
        <w:rPr>
          <w:rFonts w:ascii="Verdana" w:eastAsia="Verdana" w:hAnsi="Verdana" w:cs="Verdana"/>
          <w:sz w:val="24"/>
          <w:szCs w:val="24"/>
        </w:rPr>
      </w:pPr>
      <w:r>
        <w:rPr>
          <w:rFonts w:ascii="Verdana" w:eastAsia="Verdana" w:hAnsi="Verdana" w:cs="Verdana"/>
          <w:sz w:val="24"/>
          <w:szCs w:val="24"/>
        </w:rPr>
        <w:t>Ademais, os servidores quando se encontram no interior, não dispõem de instalações adequadas para preparação de alimentos ou serviços de restaurante.</w:t>
      </w:r>
    </w:p>
    <w:p w:rsidR="006A7F04" w:rsidRDefault="00DF00A4">
      <w:pPr>
        <w:spacing w:before="200" w:line="360" w:lineRule="auto"/>
        <w:jc w:val="both"/>
        <w:rPr>
          <w:rFonts w:ascii="Verdana" w:eastAsia="Verdana" w:hAnsi="Verdana" w:cs="Verdana"/>
          <w:sz w:val="24"/>
          <w:szCs w:val="24"/>
        </w:rPr>
      </w:pPr>
      <w:r>
        <w:rPr>
          <w:rFonts w:ascii="Verdana" w:eastAsia="Verdana" w:hAnsi="Verdana" w:cs="Verdana"/>
          <w:sz w:val="24"/>
          <w:szCs w:val="24"/>
        </w:rPr>
        <w:t>A contratação de serviços</w:t>
      </w:r>
      <w:r>
        <w:rPr>
          <w:rFonts w:ascii="Verdana" w:eastAsia="Verdana" w:hAnsi="Verdana" w:cs="Verdana"/>
          <w:sz w:val="24"/>
          <w:szCs w:val="24"/>
        </w:rPr>
        <w:t xml:space="preserve"> de fornecimento de </w:t>
      </w:r>
      <w:proofErr w:type="spellStart"/>
      <w:r>
        <w:rPr>
          <w:rFonts w:ascii="Verdana" w:eastAsia="Verdana" w:hAnsi="Verdana" w:cs="Verdana"/>
          <w:sz w:val="24"/>
          <w:szCs w:val="24"/>
        </w:rPr>
        <w:t>marmitex</w:t>
      </w:r>
      <w:proofErr w:type="spellEnd"/>
      <w:r>
        <w:rPr>
          <w:rFonts w:ascii="Verdana" w:eastAsia="Verdana" w:hAnsi="Verdana" w:cs="Verdana"/>
          <w:sz w:val="24"/>
          <w:szCs w:val="24"/>
        </w:rPr>
        <w:t xml:space="preserve"> visa garantir uma refeição digna aos servidores em seu horário de almoço.</w:t>
      </w:r>
    </w:p>
    <w:p w:rsidR="006A7F04" w:rsidRDefault="00DF00A4">
      <w:pPr>
        <w:spacing w:before="200" w:line="360" w:lineRule="auto"/>
        <w:jc w:val="both"/>
        <w:rPr>
          <w:rFonts w:ascii="Verdana" w:eastAsia="Verdana" w:hAnsi="Verdana" w:cs="Verdana"/>
          <w:b/>
          <w:sz w:val="24"/>
          <w:szCs w:val="24"/>
        </w:rPr>
      </w:pPr>
      <w:r>
        <w:rPr>
          <w:rFonts w:ascii="Verdana" w:eastAsia="Verdana" w:hAnsi="Verdana" w:cs="Verdana"/>
          <w:b/>
          <w:sz w:val="24"/>
          <w:szCs w:val="24"/>
        </w:rPr>
        <w:t>6. Área requisitante</w:t>
      </w:r>
    </w:p>
    <w:p w:rsidR="006A7F04" w:rsidRDefault="006A7F04">
      <w:pPr>
        <w:spacing w:before="200" w:line="360" w:lineRule="auto"/>
        <w:jc w:val="both"/>
        <w:rPr>
          <w:rFonts w:ascii="Verdana" w:eastAsia="Verdana" w:hAnsi="Verdana" w:cs="Verdana"/>
          <w:b/>
          <w:sz w:val="24"/>
          <w:szCs w:val="24"/>
        </w:rPr>
      </w:pPr>
    </w:p>
    <w:tbl>
      <w:tblPr>
        <w:tblStyle w:val="afd"/>
        <w:tblW w:w="943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4215"/>
        <w:gridCol w:w="5220"/>
      </w:tblGrid>
      <w:tr w:rsidR="006A7F04">
        <w:trPr>
          <w:trHeight w:val="710"/>
        </w:trPr>
        <w:tc>
          <w:tcPr>
            <w:tcW w:w="4215" w:type="dxa"/>
            <w:tcBorders>
              <w:top w:val="single" w:sz="6" w:space="0" w:color="000000"/>
              <w:left w:val="single" w:sz="6" w:space="0" w:color="000000"/>
              <w:bottom w:val="single" w:sz="6" w:space="0" w:color="000000"/>
              <w:right w:val="single" w:sz="6" w:space="0" w:color="000000"/>
            </w:tcBorders>
            <w:shd w:val="clear" w:color="auto" w:fill="95B3D7"/>
            <w:tcMar>
              <w:top w:w="100" w:type="dxa"/>
              <w:left w:w="100" w:type="dxa"/>
              <w:bottom w:w="100" w:type="dxa"/>
              <w:right w:w="100" w:type="dxa"/>
            </w:tcMar>
          </w:tcPr>
          <w:p w:rsidR="006A7F04" w:rsidRDefault="00DF00A4">
            <w:pPr>
              <w:spacing w:line="360" w:lineRule="auto"/>
              <w:ind w:left="20"/>
              <w:jc w:val="center"/>
              <w:rPr>
                <w:rFonts w:ascii="Verdana" w:eastAsia="Verdana" w:hAnsi="Verdana" w:cs="Verdana"/>
                <w:b/>
              </w:rPr>
            </w:pPr>
            <w:r>
              <w:rPr>
                <w:rFonts w:ascii="Verdana" w:eastAsia="Verdana" w:hAnsi="Verdana" w:cs="Verdana"/>
                <w:b/>
              </w:rPr>
              <w:t>Área requisitante</w:t>
            </w:r>
          </w:p>
        </w:tc>
        <w:tc>
          <w:tcPr>
            <w:tcW w:w="5220" w:type="dxa"/>
            <w:tcBorders>
              <w:top w:val="single" w:sz="6" w:space="0" w:color="000000"/>
              <w:left w:val="nil"/>
              <w:bottom w:val="single" w:sz="6" w:space="0" w:color="000000"/>
              <w:right w:val="single" w:sz="6" w:space="0" w:color="000000"/>
            </w:tcBorders>
            <w:shd w:val="clear" w:color="auto" w:fill="95B3D7"/>
            <w:tcMar>
              <w:top w:w="100" w:type="dxa"/>
              <w:left w:w="100" w:type="dxa"/>
              <w:bottom w:w="100" w:type="dxa"/>
              <w:right w:w="100" w:type="dxa"/>
            </w:tcMar>
          </w:tcPr>
          <w:p w:rsidR="006A7F04" w:rsidRDefault="00DF00A4">
            <w:pPr>
              <w:spacing w:line="360" w:lineRule="auto"/>
              <w:ind w:left="20"/>
              <w:jc w:val="center"/>
              <w:rPr>
                <w:rFonts w:ascii="Verdana" w:eastAsia="Verdana" w:hAnsi="Verdana" w:cs="Verdana"/>
                <w:b/>
              </w:rPr>
            </w:pPr>
            <w:r>
              <w:rPr>
                <w:rFonts w:ascii="Verdana" w:eastAsia="Verdana" w:hAnsi="Verdana" w:cs="Verdana"/>
                <w:b/>
              </w:rPr>
              <w:t>Responsável</w:t>
            </w:r>
          </w:p>
        </w:tc>
      </w:tr>
      <w:tr w:rsidR="006A7F04">
        <w:trPr>
          <w:trHeight w:val="750"/>
        </w:trPr>
        <w:tc>
          <w:tcPr>
            <w:tcW w:w="42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6A7F04" w:rsidRDefault="00DF00A4">
            <w:pPr>
              <w:spacing w:line="360" w:lineRule="auto"/>
              <w:jc w:val="center"/>
              <w:rPr>
                <w:rFonts w:ascii="Verdana" w:eastAsia="Verdana" w:hAnsi="Verdana" w:cs="Verdana"/>
                <w:sz w:val="24"/>
                <w:szCs w:val="24"/>
              </w:rPr>
            </w:pPr>
            <w:r>
              <w:rPr>
                <w:rFonts w:ascii="Verdana" w:eastAsia="Verdana" w:hAnsi="Verdana" w:cs="Verdana"/>
                <w:sz w:val="24"/>
                <w:szCs w:val="24"/>
              </w:rPr>
              <w:t>Secretária Municipal de Infraestrutura</w:t>
            </w:r>
          </w:p>
        </w:tc>
        <w:tc>
          <w:tcPr>
            <w:tcW w:w="5220" w:type="dxa"/>
            <w:tcBorders>
              <w:top w:val="nil"/>
              <w:left w:val="nil"/>
              <w:bottom w:val="single" w:sz="6" w:space="0" w:color="000000"/>
              <w:right w:val="single" w:sz="6" w:space="0" w:color="000000"/>
            </w:tcBorders>
            <w:tcMar>
              <w:top w:w="100" w:type="dxa"/>
              <w:left w:w="100" w:type="dxa"/>
              <w:bottom w:w="100" w:type="dxa"/>
              <w:right w:w="100" w:type="dxa"/>
            </w:tcMar>
          </w:tcPr>
          <w:p w:rsidR="006A7F04" w:rsidRDefault="00DF00A4">
            <w:pPr>
              <w:spacing w:line="360" w:lineRule="auto"/>
              <w:ind w:left="20"/>
              <w:jc w:val="center"/>
              <w:rPr>
                <w:rFonts w:ascii="Verdana" w:eastAsia="Verdana" w:hAnsi="Verdana" w:cs="Verdana"/>
                <w:sz w:val="24"/>
                <w:szCs w:val="24"/>
              </w:rPr>
            </w:pPr>
            <w:r>
              <w:rPr>
                <w:rFonts w:ascii="Verdana" w:eastAsia="Verdana" w:hAnsi="Verdana" w:cs="Verdana"/>
                <w:sz w:val="24"/>
                <w:szCs w:val="24"/>
              </w:rPr>
              <w:t xml:space="preserve">Eduardo </w:t>
            </w:r>
            <w:proofErr w:type="spellStart"/>
            <w:r>
              <w:rPr>
                <w:rFonts w:ascii="Verdana" w:eastAsia="Verdana" w:hAnsi="Verdana" w:cs="Verdana"/>
                <w:sz w:val="24"/>
                <w:szCs w:val="24"/>
              </w:rPr>
              <w:t>Palaoro</w:t>
            </w:r>
            <w:proofErr w:type="spellEnd"/>
          </w:p>
        </w:tc>
      </w:tr>
    </w:tbl>
    <w:p w:rsidR="006A7F04" w:rsidRDefault="00DF00A4">
      <w:pPr>
        <w:shd w:val="clear" w:color="auto" w:fill="FFFFFF"/>
        <w:spacing w:before="200" w:line="360" w:lineRule="auto"/>
        <w:ind w:left="20"/>
        <w:jc w:val="both"/>
        <w:rPr>
          <w:rFonts w:ascii="Verdana" w:eastAsia="Verdana" w:hAnsi="Verdana" w:cs="Verdana"/>
          <w:b/>
          <w:sz w:val="24"/>
          <w:szCs w:val="24"/>
        </w:rPr>
      </w:pPr>
      <w:r>
        <w:rPr>
          <w:rFonts w:ascii="Verdana" w:eastAsia="Verdana" w:hAnsi="Verdana" w:cs="Verdana"/>
          <w:b/>
          <w:sz w:val="24"/>
          <w:szCs w:val="24"/>
        </w:rPr>
        <w:t>7. Previsão no plano de contratações anual</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b/>
          <w:sz w:val="24"/>
          <w:szCs w:val="24"/>
        </w:rPr>
        <w:t>Fundamentação:</w:t>
      </w:r>
      <w:r>
        <w:rPr>
          <w:rFonts w:ascii="Verdana" w:eastAsia="Verdana" w:hAnsi="Verdana" w:cs="Verdana"/>
          <w:sz w:val="24"/>
          <w:szCs w:val="24"/>
        </w:rPr>
        <w:t xml:space="preserve"> Demonstração da previsão da contratação no plano de contratações anuais, sempre que elaborado, de modo a indicar o seu alinhamento com o planejamento da Administração; (inciso II do § 1° do art. 18 da Lei 14.133/21</w:t>
      </w:r>
      <w:proofErr w:type="gramStart"/>
      <w:r>
        <w:rPr>
          <w:rFonts w:ascii="Verdana" w:eastAsia="Verdana" w:hAnsi="Verdana" w:cs="Verdana"/>
          <w:sz w:val="24"/>
          <w:szCs w:val="24"/>
        </w:rPr>
        <w:t>)</w:t>
      </w:r>
      <w:proofErr w:type="gramEnd"/>
    </w:p>
    <w:p w:rsidR="006A7F04" w:rsidRDefault="00DF00A4">
      <w:pPr>
        <w:shd w:val="clear" w:color="auto" w:fill="FFFFFF"/>
        <w:spacing w:before="200" w:after="240" w:line="360" w:lineRule="auto"/>
        <w:jc w:val="both"/>
        <w:rPr>
          <w:rFonts w:ascii="Verdana" w:eastAsia="Verdana" w:hAnsi="Verdana" w:cs="Verdana"/>
          <w:sz w:val="24"/>
          <w:szCs w:val="24"/>
        </w:rPr>
      </w:pPr>
      <w:r>
        <w:rPr>
          <w:rFonts w:ascii="Verdana" w:eastAsia="Verdana" w:hAnsi="Verdana" w:cs="Verdana"/>
          <w:sz w:val="24"/>
          <w:szCs w:val="24"/>
        </w:rPr>
        <w:t>Demonstração do alinhamen</w:t>
      </w:r>
      <w:r>
        <w:rPr>
          <w:rFonts w:ascii="Verdana" w:eastAsia="Verdana" w:hAnsi="Verdana" w:cs="Verdana"/>
          <w:sz w:val="24"/>
          <w:szCs w:val="24"/>
        </w:rPr>
        <w:t>to entre a contratação e o planejamento do órgão ou entidade, identificando a previsão no Plano Anual de Contratações ou, se for o caso, justificando a ausência de previsão; (Art. 7°, inciso IX da IN 40/2020).</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sz w:val="24"/>
          <w:szCs w:val="24"/>
        </w:rPr>
        <w:lastRenderedPageBreak/>
        <w:t>O Município de Abelardo Luz encontra-se em tra</w:t>
      </w:r>
      <w:r>
        <w:rPr>
          <w:rFonts w:ascii="Verdana" w:eastAsia="Verdana" w:hAnsi="Verdana" w:cs="Verdana"/>
          <w:sz w:val="24"/>
          <w:szCs w:val="24"/>
        </w:rPr>
        <w:t>nsição para a nova Lei de Licitações, e considerando que o município possui menos de 20.000 (vinte mil) habitantes, encontra-se na exceção do art. 176 da Lei n° 14.133/2021.</w:t>
      </w:r>
    </w:p>
    <w:p w:rsidR="006A7F04" w:rsidRDefault="00DF00A4">
      <w:pPr>
        <w:spacing w:before="200" w:line="360" w:lineRule="auto"/>
        <w:ind w:left="20"/>
        <w:jc w:val="both"/>
        <w:rPr>
          <w:rFonts w:ascii="Verdana" w:eastAsia="Verdana" w:hAnsi="Verdana" w:cs="Verdana"/>
          <w:b/>
          <w:sz w:val="24"/>
          <w:szCs w:val="24"/>
        </w:rPr>
      </w:pPr>
      <w:r>
        <w:rPr>
          <w:rFonts w:ascii="Verdana" w:eastAsia="Verdana" w:hAnsi="Verdana" w:cs="Verdana"/>
          <w:b/>
          <w:sz w:val="24"/>
          <w:szCs w:val="24"/>
        </w:rPr>
        <w:t>8. Requisitos da Contratação</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b/>
          <w:sz w:val="24"/>
          <w:szCs w:val="24"/>
        </w:rPr>
        <w:t>Fundamentação:</w:t>
      </w:r>
      <w:r>
        <w:rPr>
          <w:rFonts w:ascii="Verdana" w:eastAsia="Verdana" w:hAnsi="Verdana" w:cs="Verdana"/>
          <w:sz w:val="24"/>
          <w:szCs w:val="24"/>
        </w:rPr>
        <w:t xml:space="preserve"> Descrição dos requisitos necessários e</w:t>
      </w:r>
      <w:r>
        <w:rPr>
          <w:rFonts w:ascii="Verdana" w:eastAsia="Verdana" w:hAnsi="Verdana" w:cs="Verdana"/>
          <w:sz w:val="24"/>
          <w:szCs w:val="24"/>
        </w:rPr>
        <w:t xml:space="preserve"> suficientes à escolha da solução. (inciso III do § 1° do art. 18 da Lei 14.133/2021 e Art. 7°, inciso II da IN 40/2020).</w:t>
      </w:r>
    </w:p>
    <w:p w:rsidR="006A7F04" w:rsidRDefault="00DF00A4">
      <w:pPr>
        <w:spacing w:line="360" w:lineRule="auto"/>
        <w:jc w:val="both"/>
        <w:rPr>
          <w:rFonts w:ascii="Verdana" w:eastAsia="Verdana" w:hAnsi="Verdana" w:cs="Verdana"/>
          <w:sz w:val="24"/>
          <w:szCs w:val="24"/>
        </w:rPr>
      </w:pPr>
      <w:r>
        <w:rPr>
          <w:rFonts w:ascii="Verdana" w:eastAsia="Verdana" w:hAnsi="Verdana" w:cs="Verdana"/>
          <w:sz w:val="24"/>
          <w:szCs w:val="24"/>
        </w:rPr>
        <w:t xml:space="preserve">Os serviços de fornecimento de </w:t>
      </w:r>
      <w:proofErr w:type="spellStart"/>
      <w:r>
        <w:rPr>
          <w:rFonts w:ascii="Verdana" w:eastAsia="Verdana" w:hAnsi="Verdana" w:cs="Verdana"/>
          <w:sz w:val="24"/>
          <w:szCs w:val="24"/>
        </w:rPr>
        <w:t>marmitex</w:t>
      </w:r>
      <w:proofErr w:type="spellEnd"/>
      <w:r>
        <w:rPr>
          <w:rFonts w:ascii="Verdana" w:eastAsia="Verdana" w:hAnsi="Verdana" w:cs="Verdana"/>
          <w:sz w:val="24"/>
          <w:szCs w:val="24"/>
        </w:rPr>
        <w:t xml:space="preserve"> servidas, os alimentos fornecidos devem estar em conformidade com os padrões de segurança alim</w:t>
      </w:r>
      <w:r>
        <w:rPr>
          <w:rFonts w:ascii="Verdana" w:eastAsia="Verdana" w:hAnsi="Verdana" w:cs="Verdana"/>
          <w:sz w:val="24"/>
          <w:szCs w:val="24"/>
        </w:rPr>
        <w:t>entar e manter a qualidade esperada,</w:t>
      </w:r>
      <w:proofErr w:type="gramStart"/>
      <w:r>
        <w:rPr>
          <w:rFonts w:ascii="Verdana" w:eastAsia="Verdana" w:hAnsi="Verdana" w:cs="Verdana"/>
          <w:sz w:val="24"/>
          <w:szCs w:val="24"/>
        </w:rPr>
        <w:t xml:space="preserve">  </w:t>
      </w:r>
      <w:proofErr w:type="gramEnd"/>
      <w:r>
        <w:rPr>
          <w:rFonts w:ascii="Verdana" w:eastAsia="Verdana" w:hAnsi="Verdana" w:cs="Verdana"/>
          <w:sz w:val="24"/>
          <w:szCs w:val="24"/>
        </w:rPr>
        <w:t>bem como devem ser servidas de acordo com cardápio variado do buffet, devendo ser  constituído basicamente de arroz, feijão de boa qualidade, carnes de 1ª que podem variar de bovina, suína, frango e peixes, massas, sal</w:t>
      </w:r>
      <w:r>
        <w:rPr>
          <w:rFonts w:ascii="Verdana" w:eastAsia="Verdana" w:hAnsi="Verdana" w:cs="Verdana"/>
          <w:sz w:val="24"/>
          <w:szCs w:val="24"/>
        </w:rPr>
        <w:t>ada cozida, salada crua quando solicitada deve ser entregue em marmita separada, e ou outro tipo de guarnição, óleos e temperos de boa qualidade.</w:t>
      </w:r>
    </w:p>
    <w:p w:rsidR="006A7F04" w:rsidRDefault="00DF00A4">
      <w:pPr>
        <w:spacing w:line="360" w:lineRule="auto"/>
        <w:jc w:val="both"/>
        <w:rPr>
          <w:rFonts w:ascii="Verdana" w:eastAsia="Verdana" w:hAnsi="Verdana" w:cs="Verdana"/>
          <w:sz w:val="24"/>
          <w:szCs w:val="24"/>
        </w:rPr>
      </w:pPr>
      <w:r>
        <w:rPr>
          <w:rFonts w:ascii="Verdana" w:eastAsia="Verdana" w:hAnsi="Verdana" w:cs="Verdana"/>
          <w:sz w:val="24"/>
          <w:szCs w:val="24"/>
        </w:rPr>
        <w:t xml:space="preserve">Ademais, após montada a </w:t>
      </w:r>
      <w:proofErr w:type="spellStart"/>
      <w:r>
        <w:rPr>
          <w:rFonts w:ascii="Verdana" w:eastAsia="Verdana" w:hAnsi="Verdana" w:cs="Verdana"/>
          <w:sz w:val="24"/>
          <w:szCs w:val="24"/>
        </w:rPr>
        <w:t>marmitex</w:t>
      </w:r>
      <w:proofErr w:type="spellEnd"/>
      <w:r>
        <w:rPr>
          <w:rFonts w:ascii="Verdana" w:eastAsia="Verdana" w:hAnsi="Verdana" w:cs="Verdana"/>
          <w:sz w:val="24"/>
          <w:szCs w:val="24"/>
        </w:rPr>
        <w:t xml:space="preserve"> deverá estar completamente cheia, devidamente acondicionada em embalagem descartável e térmica de isopor com divisórias e </w:t>
      </w:r>
      <w:proofErr w:type="gramStart"/>
      <w:r>
        <w:rPr>
          <w:rFonts w:ascii="Verdana" w:eastAsia="Verdana" w:hAnsi="Verdana" w:cs="Verdana"/>
          <w:sz w:val="24"/>
          <w:szCs w:val="24"/>
        </w:rPr>
        <w:t>tampa,</w:t>
      </w:r>
      <w:proofErr w:type="gramEnd"/>
      <w:r>
        <w:rPr>
          <w:rFonts w:ascii="Verdana" w:eastAsia="Verdana" w:hAnsi="Verdana" w:cs="Verdana"/>
          <w:sz w:val="24"/>
          <w:szCs w:val="24"/>
        </w:rPr>
        <w:t xml:space="preserve"> tamanho médio. </w:t>
      </w:r>
    </w:p>
    <w:p w:rsidR="006A7F04" w:rsidRDefault="00DF00A4">
      <w:pPr>
        <w:spacing w:line="360" w:lineRule="auto"/>
        <w:jc w:val="both"/>
        <w:rPr>
          <w:rFonts w:ascii="Verdana" w:eastAsia="Verdana" w:hAnsi="Verdana" w:cs="Verdana"/>
          <w:sz w:val="24"/>
          <w:szCs w:val="24"/>
        </w:rPr>
      </w:pPr>
      <w:r>
        <w:rPr>
          <w:rFonts w:ascii="Verdana" w:eastAsia="Verdana" w:hAnsi="Verdana" w:cs="Verdana"/>
          <w:sz w:val="24"/>
          <w:szCs w:val="24"/>
        </w:rPr>
        <w:t>Podendo incluir inspeções regulares das instalações do fornecedor, garantindo que os alimentos sejam armazenados e manuseados adequadamente.</w:t>
      </w:r>
    </w:p>
    <w:p w:rsidR="006A7F04" w:rsidRDefault="00DF00A4">
      <w:pPr>
        <w:spacing w:after="200" w:line="360" w:lineRule="auto"/>
        <w:jc w:val="both"/>
        <w:rPr>
          <w:rFonts w:ascii="Verdana" w:eastAsia="Verdana" w:hAnsi="Verdana" w:cs="Verdana"/>
          <w:b/>
          <w:sz w:val="24"/>
          <w:szCs w:val="24"/>
        </w:rPr>
      </w:pPr>
      <w:r>
        <w:rPr>
          <w:rFonts w:ascii="Verdana" w:eastAsia="Verdana" w:hAnsi="Verdana" w:cs="Verdana"/>
          <w:b/>
          <w:sz w:val="24"/>
          <w:szCs w:val="24"/>
        </w:rPr>
        <w:t>9. Estimativa das quantidades</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b/>
          <w:sz w:val="24"/>
          <w:szCs w:val="24"/>
        </w:rPr>
        <w:t>Fundamentação:</w:t>
      </w:r>
      <w:r>
        <w:rPr>
          <w:rFonts w:ascii="Verdana" w:eastAsia="Verdana" w:hAnsi="Verdana" w:cs="Verdana"/>
          <w:sz w:val="24"/>
          <w:szCs w:val="24"/>
        </w:rPr>
        <w:t xml:space="preserve"> Estimativa das quantidades a serem contratadas, acompanhada das memóri</w:t>
      </w:r>
      <w:r>
        <w:rPr>
          <w:rFonts w:ascii="Verdana" w:eastAsia="Verdana" w:hAnsi="Verdana" w:cs="Verdana"/>
          <w:sz w:val="24"/>
          <w:szCs w:val="24"/>
        </w:rPr>
        <w:t>as de cálculo e dos documentos que lhe dão suporte, considerando a interdependência com outras contratações, de modo a possibilitar economia de escala (inciso IV do § 1° do art. 18 da Lei 14.133/21 e art. 7°, inciso V da IN 40/2020).</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sz w:val="24"/>
          <w:szCs w:val="24"/>
        </w:rPr>
        <w:t>A estimativa de quanti</w:t>
      </w:r>
      <w:r>
        <w:rPr>
          <w:rFonts w:ascii="Verdana" w:eastAsia="Verdana" w:hAnsi="Verdana" w:cs="Verdana"/>
          <w:sz w:val="24"/>
          <w:szCs w:val="24"/>
        </w:rPr>
        <w:t xml:space="preserve">dade a ser contratada é de 6.000,00 (seis mil) </w:t>
      </w:r>
      <w:proofErr w:type="spellStart"/>
      <w:r>
        <w:rPr>
          <w:rFonts w:ascii="Verdana" w:eastAsia="Verdana" w:hAnsi="Verdana" w:cs="Verdana"/>
          <w:sz w:val="24"/>
          <w:szCs w:val="24"/>
        </w:rPr>
        <w:t>marmitex</w:t>
      </w:r>
      <w:proofErr w:type="spellEnd"/>
      <w:r>
        <w:rPr>
          <w:rFonts w:ascii="Verdana" w:eastAsia="Verdana" w:hAnsi="Verdana" w:cs="Verdana"/>
          <w:sz w:val="24"/>
          <w:szCs w:val="24"/>
        </w:rPr>
        <w:t>.</w:t>
      </w:r>
    </w:p>
    <w:p w:rsidR="006A7F04" w:rsidRDefault="00DF00A4">
      <w:pPr>
        <w:spacing w:before="200" w:after="240" w:line="360" w:lineRule="auto"/>
        <w:jc w:val="both"/>
        <w:rPr>
          <w:rFonts w:ascii="Verdana" w:eastAsia="Verdana" w:hAnsi="Verdana" w:cs="Verdana"/>
          <w:b/>
          <w:sz w:val="24"/>
          <w:szCs w:val="24"/>
        </w:rPr>
      </w:pPr>
      <w:r>
        <w:rPr>
          <w:rFonts w:ascii="Verdana" w:eastAsia="Verdana" w:hAnsi="Verdana" w:cs="Verdana"/>
          <w:b/>
          <w:sz w:val="24"/>
          <w:szCs w:val="24"/>
        </w:rPr>
        <w:lastRenderedPageBreak/>
        <w:t>10. Levantamento de Mercado</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b/>
          <w:sz w:val="24"/>
          <w:szCs w:val="24"/>
        </w:rPr>
        <w:t>Fundamentação:</w:t>
      </w:r>
      <w:r>
        <w:rPr>
          <w:rFonts w:ascii="Verdana" w:eastAsia="Verdana" w:hAnsi="Verdana" w:cs="Verdana"/>
          <w:sz w:val="24"/>
          <w:szCs w:val="24"/>
        </w:rPr>
        <w:t xml:space="preserve"> Levantamento de mercado, que consiste na análise das alternativas possíveis, e justificativa técnica e econômica da escolha do tipo de solução a contratar. </w:t>
      </w:r>
      <w:r>
        <w:rPr>
          <w:rFonts w:ascii="Verdana" w:eastAsia="Verdana" w:hAnsi="Verdana" w:cs="Verdana"/>
          <w:sz w:val="24"/>
          <w:szCs w:val="24"/>
        </w:rPr>
        <w:t>(inciso V do § 1° do art. 18 da Lei 14.133/2021).</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sz w:val="24"/>
          <w:szCs w:val="24"/>
        </w:rPr>
        <w:t xml:space="preserve">No presente caso trata-se de um pregão de licitação, assim foi realizado um levantamento de preços do Serviço que será necessário, o qual </w:t>
      </w:r>
      <w:proofErr w:type="gramStart"/>
      <w:r>
        <w:rPr>
          <w:rFonts w:ascii="Verdana" w:eastAsia="Verdana" w:hAnsi="Verdana" w:cs="Verdana"/>
          <w:sz w:val="24"/>
          <w:szCs w:val="24"/>
        </w:rPr>
        <w:t>encontram-se</w:t>
      </w:r>
      <w:proofErr w:type="gramEnd"/>
      <w:r>
        <w:rPr>
          <w:rFonts w:ascii="Verdana" w:eastAsia="Verdana" w:hAnsi="Verdana" w:cs="Verdana"/>
          <w:sz w:val="24"/>
          <w:szCs w:val="24"/>
        </w:rPr>
        <w:t xml:space="preserve"> na tabela abaixo:</w:t>
      </w:r>
    </w:p>
    <w:p w:rsidR="006A7F04" w:rsidRDefault="006A7F04">
      <w:pPr>
        <w:widowControl w:val="0"/>
        <w:spacing w:before="7" w:line="360" w:lineRule="auto"/>
        <w:ind w:left="111"/>
        <w:jc w:val="center"/>
        <w:rPr>
          <w:rFonts w:ascii="Verdana" w:eastAsia="Verdana" w:hAnsi="Verdana" w:cs="Verdana"/>
          <w:b/>
          <w:sz w:val="22"/>
          <w:szCs w:val="22"/>
        </w:rPr>
      </w:pPr>
    </w:p>
    <w:tbl>
      <w:tblPr>
        <w:tblStyle w:val="afe"/>
        <w:tblW w:w="960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2700"/>
        <w:gridCol w:w="3825"/>
      </w:tblGrid>
      <w:tr w:rsidR="006A7F04">
        <w:trPr>
          <w:trHeight w:val="633"/>
        </w:trPr>
        <w:tc>
          <w:tcPr>
            <w:tcW w:w="3075" w:type="dxa"/>
            <w:shd w:val="clear" w:color="auto" w:fill="auto"/>
            <w:tcMar>
              <w:top w:w="100" w:type="dxa"/>
              <w:left w:w="100" w:type="dxa"/>
              <w:bottom w:w="100" w:type="dxa"/>
              <w:right w:w="100" w:type="dxa"/>
            </w:tcMar>
          </w:tcPr>
          <w:p w:rsidR="006A7F04" w:rsidRDefault="00DF00A4">
            <w:pPr>
              <w:spacing w:line="360" w:lineRule="auto"/>
              <w:ind w:left="40"/>
              <w:jc w:val="center"/>
              <w:rPr>
                <w:rFonts w:ascii="Verdana" w:eastAsia="Verdana" w:hAnsi="Verdana" w:cs="Verdana"/>
                <w:b/>
              </w:rPr>
            </w:pPr>
            <w:r>
              <w:rPr>
                <w:rFonts w:ascii="Verdana" w:eastAsia="Verdana" w:hAnsi="Verdana" w:cs="Verdana"/>
                <w:b/>
              </w:rPr>
              <w:t>Serviço</w:t>
            </w:r>
          </w:p>
        </w:tc>
        <w:tc>
          <w:tcPr>
            <w:tcW w:w="2700" w:type="dxa"/>
          </w:tcPr>
          <w:p w:rsidR="006A7F04" w:rsidRDefault="00DF00A4">
            <w:pPr>
              <w:widowControl w:val="0"/>
              <w:spacing w:before="7" w:line="360" w:lineRule="auto"/>
              <w:jc w:val="center"/>
              <w:rPr>
                <w:rFonts w:ascii="Verdana" w:eastAsia="Verdana" w:hAnsi="Verdana" w:cs="Verdana"/>
                <w:b/>
                <w:sz w:val="18"/>
                <w:szCs w:val="18"/>
              </w:rPr>
            </w:pPr>
            <w:r>
              <w:rPr>
                <w:rFonts w:ascii="Verdana" w:eastAsia="Verdana" w:hAnsi="Verdana" w:cs="Verdana"/>
                <w:b/>
                <w:sz w:val="18"/>
                <w:szCs w:val="18"/>
              </w:rPr>
              <w:t>UNIDADE DE MEDIDA</w:t>
            </w:r>
          </w:p>
        </w:tc>
        <w:tc>
          <w:tcPr>
            <w:tcW w:w="3825" w:type="dxa"/>
          </w:tcPr>
          <w:p w:rsidR="006A7F04" w:rsidRDefault="00DF00A4">
            <w:pPr>
              <w:widowControl w:val="0"/>
              <w:spacing w:before="7" w:line="360" w:lineRule="auto"/>
              <w:jc w:val="center"/>
              <w:rPr>
                <w:rFonts w:ascii="Verdana" w:eastAsia="Verdana" w:hAnsi="Verdana" w:cs="Verdana"/>
                <w:b/>
                <w:sz w:val="18"/>
                <w:szCs w:val="18"/>
              </w:rPr>
            </w:pPr>
            <w:r>
              <w:rPr>
                <w:rFonts w:ascii="Verdana" w:eastAsia="Verdana" w:hAnsi="Verdana" w:cs="Verdana"/>
                <w:b/>
                <w:sz w:val="18"/>
                <w:szCs w:val="18"/>
              </w:rPr>
              <w:t>QUANTIDADE</w:t>
            </w:r>
          </w:p>
        </w:tc>
      </w:tr>
      <w:tr w:rsidR="006A7F04">
        <w:trPr>
          <w:trHeight w:val="395"/>
        </w:trPr>
        <w:tc>
          <w:tcPr>
            <w:tcW w:w="3075" w:type="dxa"/>
          </w:tcPr>
          <w:p w:rsidR="006A7F04" w:rsidRDefault="00DF00A4">
            <w:pPr>
              <w:widowControl w:val="0"/>
              <w:spacing w:before="7" w:line="360" w:lineRule="auto"/>
              <w:jc w:val="center"/>
              <w:rPr>
                <w:rFonts w:ascii="Verdana" w:eastAsia="Verdana" w:hAnsi="Verdana" w:cs="Verdana"/>
                <w:sz w:val="18"/>
                <w:szCs w:val="18"/>
              </w:rPr>
            </w:pPr>
            <w:r>
              <w:rPr>
                <w:rFonts w:ascii="Verdana" w:eastAsia="Verdana" w:hAnsi="Verdana" w:cs="Verdana"/>
                <w:sz w:val="18"/>
                <w:szCs w:val="18"/>
              </w:rPr>
              <w:t xml:space="preserve">Fornecimento de </w:t>
            </w:r>
            <w:proofErr w:type="spellStart"/>
            <w:r>
              <w:rPr>
                <w:rFonts w:ascii="Verdana" w:eastAsia="Verdana" w:hAnsi="Verdana" w:cs="Verdana"/>
                <w:sz w:val="18"/>
                <w:szCs w:val="18"/>
              </w:rPr>
              <w:t>Marmitex</w:t>
            </w:r>
            <w:proofErr w:type="spellEnd"/>
            <w:r>
              <w:rPr>
                <w:rFonts w:ascii="Verdana" w:eastAsia="Verdana" w:hAnsi="Verdana" w:cs="Verdana"/>
                <w:sz w:val="18"/>
                <w:szCs w:val="18"/>
              </w:rPr>
              <w:t xml:space="preserve"> completa</w:t>
            </w:r>
          </w:p>
        </w:tc>
        <w:tc>
          <w:tcPr>
            <w:tcW w:w="2700" w:type="dxa"/>
          </w:tcPr>
          <w:p w:rsidR="006A7F04" w:rsidRDefault="00DF00A4">
            <w:pPr>
              <w:widowControl w:val="0"/>
              <w:spacing w:before="7" w:line="360" w:lineRule="auto"/>
              <w:jc w:val="center"/>
              <w:rPr>
                <w:rFonts w:ascii="Verdana" w:eastAsia="Verdana" w:hAnsi="Verdana" w:cs="Verdana"/>
                <w:sz w:val="18"/>
                <w:szCs w:val="18"/>
              </w:rPr>
            </w:pPr>
            <w:proofErr w:type="gramStart"/>
            <w:r>
              <w:rPr>
                <w:rFonts w:ascii="Verdana" w:eastAsia="Verdana" w:hAnsi="Verdana" w:cs="Verdana"/>
                <w:sz w:val="18"/>
                <w:szCs w:val="18"/>
              </w:rPr>
              <w:t>unidade</w:t>
            </w:r>
            <w:proofErr w:type="gramEnd"/>
          </w:p>
        </w:tc>
        <w:tc>
          <w:tcPr>
            <w:tcW w:w="3825" w:type="dxa"/>
          </w:tcPr>
          <w:p w:rsidR="006A7F04" w:rsidRDefault="00DF00A4">
            <w:pPr>
              <w:widowControl w:val="0"/>
              <w:spacing w:before="7" w:line="360" w:lineRule="auto"/>
              <w:jc w:val="center"/>
              <w:rPr>
                <w:rFonts w:ascii="Verdana" w:eastAsia="Verdana" w:hAnsi="Verdana" w:cs="Verdana"/>
                <w:sz w:val="18"/>
                <w:szCs w:val="18"/>
              </w:rPr>
            </w:pPr>
            <w:r>
              <w:rPr>
                <w:rFonts w:ascii="Verdana" w:eastAsia="Verdana" w:hAnsi="Verdana" w:cs="Verdana"/>
                <w:sz w:val="18"/>
                <w:szCs w:val="18"/>
              </w:rPr>
              <w:t>6.000.00</w:t>
            </w:r>
          </w:p>
        </w:tc>
      </w:tr>
    </w:tbl>
    <w:p w:rsidR="006A7F04" w:rsidRDefault="00DF00A4">
      <w:pPr>
        <w:spacing w:before="200" w:after="240"/>
        <w:jc w:val="both"/>
        <w:rPr>
          <w:rFonts w:ascii="Verdana" w:eastAsia="Verdana" w:hAnsi="Verdana" w:cs="Verdana"/>
          <w:sz w:val="24"/>
          <w:szCs w:val="24"/>
        </w:rPr>
      </w:pPr>
      <w:r>
        <w:rPr>
          <w:rFonts w:ascii="Verdana" w:eastAsia="Verdana" w:hAnsi="Verdana" w:cs="Verdana"/>
          <w:sz w:val="24"/>
          <w:szCs w:val="24"/>
        </w:rPr>
        <w:t xml:space="preserve">Foi </w:t>
      </w:r>
      <w:proofErr w:type="gramStart"/>
      <w:r>
        <w:rPr>
          <w:rFonts w:ascii="Verdana" w:eastAsia="Verdana" w:hAnsi="Verdana" w:cs="Verdana"/>
          <w:sz w:val="24"/>
          <w:szCs w:val="24"/>
        </w:rPr>
        <w:t>realizado a pesquisa de preço em banco oficial</w:t>
      </w:r>
      <w:proofErr w:type="gramEnd"/>
      <w:r>
        <w:rPr>
          <w:rFonts w:ascii="Verdana" w:eastAsia="Verdana" w:hAnsi="Verdana" w:cs="Verdana"/>
          <w:sz w:val="24"/>
          <w:szCs w:val="24"/>
        </w:rPr>
        <w:t xml:space="preserve"> (</w:t>
      </w:r>
      <w:hyperlink r:id="rId8">
        <w:r>
          <w:rPr>
            <w:rFonts w:ascii="Verdana" w:eastAsia="Verdana" w:hAnsi="Verdana" w:cs="Verdana"/>
            <w:color w:val="1155CC"/>
            <w:sz w:val="24"/>
            <w:szCs w:val="24"/>
            <w:u w:val="single"/>
          </w:rPr>
          <w:t>https://www.gov.br/pncp/pt-br</w:t>
        </w:r>
      </w:hyperlink>
      <w:r>
        <w:rPr>
          <w:rFonts w:ascii="Verdana" w:eastAsia="Verdana" w:hAnsi="Verdana" w:cs="Verdana"/>
          <w:sz w:val="24"/>
          <w:szCs w:val="24"/>
        </w:rPr>
        <w:t>) e Banco Preços (</w:t>
      </w:r>
      <w:hyperlink r:id="rId9">
        <w:r>
          <w:rPr>
            <w:rFonts w:ascii="Verdana" w:eastAsia="Verdana" w:hAnsi="Verdana" w:cs="Verdana"/>
            <w:color w:val="1155CC"/>
            <w:sz w:val="24"/>
            <w:szCs w:val="24"/>
            <w:u w:val="single"/>
          </w:rPr>
          <w:t>https://www.bancodeprecos.com.br/Account/Access</w:t>
        </w:r>
      </w:hyperlink>
      <w:r>
        <w:rPr>
          <w:rFonts w:ascii="Verdana" w:eastAsia="Verdana" w:hAnsi="Verdana" w:cs="Verdana"/>
          <w:sz w:val="24"/>
          <w:szCs w:val="24"/>
        </w:rPr>
        <w:t>), para chegar nos valores da tabela abaixo foi realizado uma média dos valores conforme orçamentos que se encontram em anexo:</w:t>
      </w:r>
    </w:p>
    <w:p w:rsidR="006A7F04" w:rsidRDefault="006A7F04">
      <w:pPr>
        <w:spacing w:before="200" w:after="240"/>
        <w:jc w:val="both"/>
        <w:rPr>
          <w:rFonts w:ascii="Verdana" w:eastAsia="Verdana" w:hAnsi="Verdana" w:cs="Verdana"/>
          <w:sz w:val="24"/>
          <w:szCs w:val="24"/>
        </w:rPr>
      </w:pPr>
    </w:p>
    <w:tbl>
      <w:tblPr>
        <w:tblStyle w:val="aff"/>
        <w:tblW w:w="98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2505"/>
        <w:gridCol w:w="1470"/>
        <w:gridCol w:w="1395"/>
        <w:gridCol w:w="1620"/>
      </w:tblGrid>
      <w:tr w:rsidR="006A7F04">
        <w:trPr>
          <w:trHeight w:val="570"/>
        </w:trPr>
        <w:tc>
          <w:tcPr>
            <w:tcW w:w="2820" w:type="dxa"/>
            <w:shd w:val="clear" w:color="auto" w:fill="auto"/>
            <w:tcMar>
              <w:top w:w="100" w:type="dxa"/>
              <w:left w:w="100" w:type="dxa"/>
              <w:bottom w:w="100" w:type="dxa"/>
              <w:right w:w="100" w:type="dxa"/>
            </w:tcMar>
          </w:tcPr>
          <w:p w:rsidR="006A7F04" w:rsidRDefault="00DF00A4">
            <w:pPr>
              <w:spacing w:line="360" w:lineRule="auto"/>
              <w:ind w:left="40"/>
              <w:jc w:val="center"/>
              <w:rPr>
                <w:rFonts w:ascii="Verdana" w:eastAsia="Verdana" w:hAnsi="Verdana" w:cs="Verdana"/>
                <w:b/>
              </w:rPr>
            </w:pPr>
            <w:r>
              <w:rPr>
                <w:rFonts w:ascii="Verdana" w:eastAsia="Verdana" w:hAnsi="Verdana" w:cs="Verdana"/>
                <w:b/>
              </w:rPr>
              <w:t>Serviço</w:t>
            </w:r>
          </w:p>
        </w:tc>
        <w:tc>
          <w:tcPr>
            <w:tcW w:w="2505" w:type="dxa"/>
            <w:shd w:val="clear" w:color="auto" w:fill="auto"/>
            <w:tcMar>
              <w:top w:w="100" w:type="dxa"/>
              <w:left w:w="100" w:type="dxa"/>
              <w:bottom w:w="100" w:type="dxa"/>
              <w:right w:w="100" w:type="dxa"/>
            </w:tcMar>
          </w:tcPr>
          <w:p w:rsidR="006A7F04" w:rsidRDefault="00DF00A4">
            <w:pPr>
              <w:spacing w:line="360" w:lineRule="auto"/>
              <w:ind w:left="40"/>
              <w:jc w:val="center"/>
              <w:rPr>
                <w:rFonts w:ascii="Verdana" w:eastAsia="Verdana" w:hAnsi="Verdana" w:cs="Verdana"/>
                <w:b/>
              </w:rPr>
            </w:pPr>
            <w:r>
              <w:rPr>
                <w:rFonts w:ascii="Verdana" w:eastAsia="Verdana" w:hAnsi="Verdana" w:cs="Verdana"/>
                <w:b/>
              </w:rPr>
              <w:t>Unidade de medida</w:t>
            </w:r>
          </w:p>
        </w:tc>
        <w:tc>
          <w:tcPr>
            <w:tcW w:w="1470" w:type="dxa"/>
            <w:shd w:val="clear" w:color="auto" w:fill="auto"/>
            <w:tcMar>
              <w:top w:w="100" w:type="dxa"/>
              <w:left w:w="100" w:type="dxa"/>
              <w:bottom w:w="100" w:type="dxa"/>
              <w:right w:w="100" w:type="dxa"/>
            </w:tcMar>
          </w:tcPr>
          <w:p w:rsidR="006A7F04" w:rsidRDefault="00DF00A4">
            <w:pPr>
              <w:spacing w:line="360" w:lineRule="auto"/>
              <w:ind w:left="40"/>
              <w:jc w:val="center"/>
              <w:rPr>
                <w:rFonts w:ascii="Verdana" w:eastAsia="Verdana" w:hAnsi="Verdana" w:cs="Verdana"/>
                <w:b/>
              </w:rPr>
            </w:pPr>
            <w:r>
              <w:rPr>
                <w:rFonts w:ascii="Verdana" w:eastAsia="Verdana" w:hAnsi="Verdana" w:cs="Verdana"/>
                <w:b/>
              </w:rPr>
              <w:t>Quantidade</w:t>
            </w:r>
          </w:p>
        </w:tc>
        <w:tc>
          <w:tcPr>
            <w:tcW w:w="1395" w:type="dxa"/>
            <w:shd w:val="clear" w:color="auto" w:fill="auto"/>
            <w:tcMar>
              <w:top w:w="100" w:type="dxa"/>
              <w:left w:w="100" w:type="dxa"/>
              <w:bottom w:w="100" w:type="dxa"/>
              <w:right w:w="100" w:type="dxa"/>
            </w:tcMar>
          </w:tcPr>
          <w:p w:rsidR="006A7F04" w:rsidRDefault="00DF00A4">
            <w:pPr>
              <w:widowControl w:val="0"/>
              <w:spacing w:line="360" w:lineRule="auto"/>
              <w:jc w:val="center"/>
              <w:rPr>
                <w:rFonts w:ascii="Verdana" w:eastAsia="Verdana" w:hAnsi="Verdana" w:cs="Verdana"/>
                <w:b/>
              </w:rPr>
            </w:pPr>
            <w:r>
              <w:rPr>
                <w:rFonts w:ascii="Verdana" w:eastAsia="Verdana" w:hAnsi="Verdana" w:cs="Verdana"/>
                <w:b/>
              </w:rPr>
              <w:t>Média do Valor unitário</w:t>
            </w:r>
          </w:p>
        </w:tc>
        <w:tc>
          <w:tcPr>
            <w:tcW w:w="1620" w:type="dxa"/>
            <w:shd w:val="clear" w:color="auto" w:fill="auto"/>
            <w:tcMar>
              <w:top w:w="100" w:type="dxa"/>
              <w:left w:w="100" w:type="dxa"/>
              <w:bottom w:w="100" w:type="dxa"/>
              <w:right w:w="100" w:type="dxa"/>
            </w:tcMar>
          </w:tcPr>
          <w:p w:rsidR="006A7F04" w:rsidRDefault="00DF00A4">
            <w:pPr>
              <w:widowControl w:val="0"/>
              <w:spacing w:line="360" w:lineRule="auto"/>
              <w:jc w:val="center"/>
              <w:rPr>
                <w:rFonts w:ascii="Verdana" w:eastAsia="Verdana" w:hAnsi="Verdana" w:cs="Verdana"/>
                <w:b/>
              </w:rPr>
            </w:pPr>
            <w:r>
              <w:rPr>
                <w:rFonts w:ascii="Verdana" w:eastAsia="Verdana" w:hAnsi="Verdana" w:cs="Verdana"/>
                <w:b/>
              </w:rPr>
              <w:t>Média do Valor Total</w:t>
            </w:r>
          </w:p>
        </w:tc>
      </w:tr>
      <w:tr w:rsidR="006A7F04">
        <w:trPr>
          <w:trHeight w:val="570"/>
        </w:trPr>
        <w:tc>
          <w:tcPr>
            <w:tcW w:w="2820" w:type="dxa"/>
          </w:tcPr>
          <w:p w:rsidR="006A7F04" w:rsidRDefault="00DF00A4">
            <w:pPr>
              <w:widowControl w:val="0"/>
              <w:spacing w:before="7" w:line="360" w:lineRule="auto"/>
              <w:jc w:val="center"/>
              <w:rPr>
                <w:rFonts w:ascii="Verdana" w:eastAsia="Verdana" w:hAnsi="Verdana" w:cs="Verdana"/>
                <w:sz w:val="18"/>
                <w:szCs w:val="18"/>
              </w:rPr>
            </w:pPr>
            <w:r>
              <w:rPr>
                <w:rFonts w:ascii="Verdana" w:eastAsia="Verdana" w:hAnsi="Verdana" w:cs="Verdana"/>
                <w:sz w:val="18"/>
                <w:szCs w:val="18"/>
              </w:rPr>
              <w:t xml:space="preserve">Fornecimento de </w:t>
            </w:r>
            <w:proofErr w:type="spellStart"/>
            <w:r>
              <w:rPr>
                <w:rFonts w:ascii="Verdana" w:eastAsia="Verdana" w:hAnsi="Verdana" w:cs="Verdana"/>
                <w:sz w:val="18"/>
                <w:szCs w:val="18"/>
              </w:rPr>
              <w:t>Marmitex</w:t>
            </w:r>
            <w:proofErr w:type="spellEnd"/>
            <w:r>
              <w:rPr>
                <w:rFonts w:ascii="Verdana" w:eastAsia="Verdana" w:hAnsi="Verdana" w:cs="Verdana"/>
                <w:sz w:val="18"/>
                <w:szCs w:val="18"/>
              </w:rPr>
              <w:t xml:space="preserve"> completa</w:t>
            </w:r>
          </w:p>
        </w:tc>
        <w:tc>
          <w:tcPr>
            <w:tcW w:w="2505" w:type="dxa"/>
          </w:tcPr>
          <w:p w:rsidR="006A7F04" w:rsidRDefault="00DF00A4">
            <w:pPr>
              <w:widowControl w:val="0"/>
              <w:spacing w:before="7" w:line="360" w:lineRule="auto"/>
              <w:jc w:val="center"/>
              <w:rPr>
                <w:rFonts w:ascii="Verdana" w:eastAsia="Verdana" w:hAnsi="Verdana" w:cs="Verdana"/>
                <w:sz w:val="18"/>
                <w:szCs w:val="18"/>
              </w:rPr>
            </w:pPr>
            <w:proofErr w:type="gramStart"/>
            <w:r>
              <w:rPr>
                <w:rFonts w:ascii="Verdana" w:eastAsia="Verdana" w:hAnsi="Verdana" w:cs="Verdana"/>
                <w:sz w:val="18"/>
                <w:szCs w:val="18"/>
              </w:rPr>
              <w:t>unidade</w:t>
            </w:r>
            <w:proofErr w:type="gramEnd"/>
          </w:p>
        </w:tc>
        <w:tc>
          <w:tcPr>
            <w:tcW w:w="1470" w:type="dxa"/>
          </w:tcPr>
          <w:p w:rsidR="006A7F04" w:rsidRDefault="00DF00A4">
            <w:pPr>
              <w:widowControl w:val="0"/>
              <w:spacing w:before="7" w:line="360" w:lineRule="auto"/>
              <w:jc w:val="center"/>
              <w:rPr>
                <w:rFonts w:ascii="Verdana" w:eastAsia="Verdana" w:hAnsi="Verdana" w:cs="Verdana"/>
                <w:sz w:val="18"/>
                <w:szCs w:val="18"/>
              </w:rPr>
            </w:pPr>
            <w:r>
              <w:rPr>
                <w:rFonts w:ascii="Verdana" w:eastAsia="Verdana" w:hAnsi="Verdana" w:cs="Verdana"/>
                <w:sz w:val="18"/>
                <w:szCs w:val="18"/>
              </w:rPr>
              <w:t>6.000.00</w:t>
            </w:r>
          </w:p>
        </w:tc>
        <w:tc>
          <w:tcPr>
            <w:tcW w:w="1395" w:type="dxa"/>
            <w:shd w:val="clear" w:color="auto" w:fill="auto"/>
            <w:tcMar>
              <w:top w:w="100" w:type="dxa"/>
              <w:left w:w="100" w:type="dxa"/>
              <w:bottom w:w="100" w:type="dxa"/>
              <w:right w:w="100" w:type="dxa"/>
            </w:tcMar>
          </w:tcPr>
          <w:p w:rsidR="006A7F04" w:rsidRDefault="00DF00A4">
            <w:pPr>
              <w:widowControl w:val="0"/>
              <w:spacing w:line="360" w:lineRule="auto"/>
              <w:jc w:val="center"/>
              <w:rPr>
                <w:rFonts w:ascii="Verdana" w:eastAsia="Verdana" w:hAnsi="Verdana" w:cs="Verdana"/>
              </w:rPr>
            </w:pPr>
            <w:r>
              <w:rPr>
                <w:rFonts w:ascii="Verdana" w:eastAsia="Verdana" w:hAnsi="Verdana" w:cs="Verdana"/>
              </w:rPr>
              <w:t>R$ 20.07</w:t>
            </w:r>
          </w:p>
        </w:tc>
        <w:tc>
          <w:tcPr>
            <w:tcW w:w="1620" w:type="dxa"/>
            <w:shd w:val="clear" w:color="auto" w:fill="auto"/>
            <w:tcMar>
              <w:top w:w="100" w:type="dxa"/>
              <w:left w:w="100" w:type="dxa"/>
              <w:bottom w:w="100" w:type="dxa"/>
              <w:right w:w="100" w:type="dxa"/>
            </w:tcMar>
          </w:tcPr>
          <w:p w:rsidR="006A7F04" w:rsidRDefault="00DF00A4">
            <w:pPr>
              <w:widowControl w:val="0"/>
              <w:spacing w:line="360" w:lineRule="auto"/>
              <w:jc w:val="center"/>
              <w:rPr>
                <w:rFonts w:ascii="Verdana" w:eastAsia="Verdana" w:hAnsi="Verdana" w:cs="Verdana"/>
              </w:rPr>
            </w:pPr>
            <w:r>
              <w:rPr>
                <w:rFonts w:ascii="Verdana" w:eastAsia="Verdana" w:hAnsi="Verdana" w:cs="Verdana"/>
              </w:rPr>
              <w:t>R$ 120.420</w:t>
            </w:r>
          </w:p>
        </w:tc>
      </w:tr>
    </w:tbl>
    <w:p w:rsidR="006A7F04" w:rsidRDefault="00DF00A4">
      <w:pPr>
        <w:spacing w:before="200" w:line="360" w:lineRule="auto"/>
        <w:jc w:val="both"/>
        <w:rPr>
          <w:rFonts w:ascii="Verdana" w:eastAsia="Verdana" w:hAnsi="Verdana" w:cs="Verdana"/>
          <w:b/>
          <w:sz w:val="24"/>
          <w:szCs w:val="24"/>
        </w:rPr>
      </w:pPr>
      <w:r>
        <w:rPr>
          <w:rFonts w:ascii="Verdana" w:eastAsia="Verdana" w:hAnsi="Verdana" w:cs="Verdana"/>
          <w:b/>
          <w:sz w:val="24"/>
          <w:szCs w:val="24"/>
        </w:rPr>
        <w:t>11. Estimativa do preço da contratação</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b/>
          <w:sz w:val="24"/>
          <w:szCs w:val="24"/>
        </w:rPr>
        <w:t>Fundamentação:</w:t>
      </w:r>
      <w:r>
        <w:rPr>
          <w:rFonts w:ascii="Verdana" w:eastAsia="Verdana" w:hAnsi="Verdana" w:cs="Verdana"/>
          <w:sz w:val="24"/>
          <w:szCs w:val="24"/>
        </w:rPr>
        <w:t xml:space="preserve"> Estimativa do valor da contratação, acompanhada dos preços unitários referenciais, das memórias de cálculo e dos documentos que lhe dão suporte, que poderão constar de anexo classificado, se a administração optar por preservar o seu sigilo até a conclusão</w:t>
      </w:r>
      <w:r>
        <w:rPr>
          <w:rFonts w:ascii="Verdana" w:eastAsia="Verdana" w:hAnsi="Verdana" w:cs="Verdana"/>
          <w:sz w:val="24"/>
          <w:szCs w:val="24"/>
        </w:rPr>
        <w:t xml:space="preserve"> da licitação (inciso VI do § 1° da Lei 14.133/21 e art. 7°, inciso VI da IN 40/2020).</w:t>
      </w:r>
    </w:p>
    <w:p w:rsidR="006A7F04" w:rsidRDefault="00DF00A4">
      <w:pPr>
        <w:spacing w:before="200" w:after="240" w:line="360" w:lineRule="auto"/>
        <w:jc w:val="both"/>
        <w:rPr>
          <w:rFonts w:ascii="Verdana" w:eastAsia="Verdana" w:hAnsi="Verdana" w:cs="Verdana"/>
          <w:sz w:val="32"/>
          <w:szCs w:val="32"/>
        </w:rPr>
      </w:pPr>
      <w:r>
        <w:rPr>
          <w:rFonts w:ascii="Verdana" w:eastAsia="Verdana" w:hAnsi="Verdana" w:cs="Verdana"/>
          <w:sz w:val="24"/>
          <w:szCs w:val="24"/>
        </w:rPr>
        <w:lastRenderedPageBreak/>
        <w:t>A estimativa do valor da contratação é de R$120.420 (cento e vinte mil quatrocentos e vinte reais).</w:t>
      </w:r>
    </w:p>
    <w:p w:rsidR="006A7F04" w:rsidRDefault="00DF00A4">
      <w:pPr>
        <w:spacing w:before="200" w:after="240" w:line="360" w:lineRule="auto"/>
        <w:jc w:val="both"/>
        <w:rPr>
          <w:rFonts w:ascii="Verdana" w:eastAsia="Verdana" w:hAnsi="Verdana" w:cs="Verdana"/>
          <w:b/>
          <w:sz w:val="24"/>
          <w:szCs w:val="24"/>
        </w:rPr>
      </w:pPr>
      <w:r>
        <w:rPr>
          <w:rFonts w:ascii="Verdana" w:eastAsia="Verdana" w:hAnsi="Verdana" w:cs="Verdana"/>
          <w:b/>
          <w:sz w:val="24"/>
          <w:szCs w:val="24"/>
        </w:rPr>
        <w:t>12. Descrição da solução como um todo</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b/>
          <w:sz w:val="24"/>
          <w:szCs w:val="24"/>
        </w:rPr>
        <w:t>Fundamentação:</w:t>
      </w:r>
      <w:r>
        <w:rPr>
          <w:rFonts w:ascii="Verdana" w:eastAsia="Verdana" w:hAnsi="Verdana" w:cs="Verdana"/>
          <w:sz w:val="24"/>
          <w:szCs w:val="24"/>
        </w:rPr>
        <w:t xml:space="preserve"> Descrição da sol</w:t>
      </w:r>
      <w:r>
        <w:rPr>
          <w:rFonts w:ascii="Verdana" w:eastAsia="Verdana" w:hAnsi="Verdana" w:cs="Verdana"/>
          <w:sz w:val="24"/>
          <w:szCs w:val="24"/>
        </w:rPr>
        <w:t>ução como um todo, inclusive das exigências relacionadas à manutenção e à assistência técnica, quando for o caso. (inciso VII do § 1° do art. 18 da Lei 14.133/21 e art. 7°, inciso IV da IN 40/2020).</w:t>
      </w:r>
    </w:p>
    <w:p w:rsidR="006A7F04" w:rsidRDefault="00DF00A4">
      <w:pPr>
        <w:spacing w:before="240" w:after="240" w:line="360" w:lineRule="auto"/>
        <w:jc w:val="both"/>
        <w:rPr>
          <w:rFonts w:ascii="Verdana" w:eastAsia="Verdana" w:hAnsi="Verdana" w:cs="Verdana"/>
          <w:sz w:val="24"/>
          <w:szCs w:val="24"/>
        </w:rPr>
      </w:pPr>
      <w:r>
        <w:rPr>
          <w:rFonts w:ascii="Verdana" w:eastAsia="Verdana" w:hAnsi="Verdana" w:cs="Verdana"/>
          <w:sz w:val="24"/>
          <w:szCs w:val="24"/>
        </w:rPr>
        <w:t xml:space="preserve">A presente contratação visa o fornecimento de </w:t>
      </w:r>
      <w:proofErr w:type="spellStart"/>
      <w:r>
        <w:rPr>
          <w:rFonts w:ascii="Verdana" w:eastAsia="Verdana" w:hAnsi="Verdana" w:cs="Verdana"/>
          <w:sz w:val="24"/>
          <w:szCs w:val="24"/>
        </w:rPr>
        <w:t>marmitex</w:t>
      </w:r>
      <w:proofErr w:type="spellEnd"/>
      <w:r>
        <w:rPr>
          <w:rFonts w:ascii="Verdana" w:eastAsia="Verdana" w:hAnsi="Verdana" w:cs="Verdana"/>
          <w:sz w:val="24"/>
          <w:szCs w:val="24"/>
        </w:rPr>
        <w:t xml:space="preserve"> co</w:t>
      </w:r>
      <w:r>
        <w:rPr>
          <w:rFonts w:ascii="Verdana" w:eastAsia="Verdana" w:hAnsi="Verdana" w:cs="Verdana"/>
          <w:sz w:val="24"/>
          <w:szCs w:val="24"/>
        </w:rPr>
        <w:t xml:space="preserve">mpletas servidas de acordo com um </w:t>
      </w:r>
      <w:proofErr w:type="gramStart"/>
      <w:r>
        <w:rPr>
          <w:rFonts w:ascii="Verdana" w:eastAsia="Verdana" w:hAnsi="Verdana" w:cs="Verdana"/>
          <w:sz w:val="24"/>
          <w:szCs w:val="24"/>
        </w:rPr>
        <w:t>buffet</w:t>
      </w:r>
      <w:proofErr w:type="gramEnd"/>
      <w:r>
        <w:rPr>
          <w:rFonts w:ascii="Verdana" w:eastAsia="Verdana" w:hAnsi="Verdana" w:cs="Verdana"/>
          <w:sz w:val="24"/>
          <w:szCs w:val="24"/>
        </w:rPr>
        <w:t xml:space="preserve"> para atender às necessidades alimentares dos trabalhadores que operam no interior, especialmente aqueles que estão envolvidos em atividades que demandam atenção constante, como o uso de maquinário.</w:t>
      </w:r>
    </w:p>
    <w:p w:rsidR="006A7F04" w:rsidRDefault="00DF00A4">
      <w:pPr>
        <w:spacing w:before="240" w:after="240" w:line="360" w:lineRule="auto"/>
        <w:jc w:val="both"/>
        <w:rPr>
          <w:rFonts w:ascii="Verdana" w:eastAsia="Verdana" w:hAnsi="Verdana" w:cs="Verdana"/>
          <w:b/>
          <w:sz w:val="24"/>
          <w:szCs w:val="24"/>
        </w:rPr>
      </w:pPr>
      <w:r>
        <w:rPr>
          <w:rFonts w:ascii="Verdana" w:eastAsia="Verdana" w:hAnsi="Verdana" w:cs="Verdana"/>
          <w:b/>
          <w:sz w:val="24"/>
          <w:szCs w:val="24"/>
        </w:rPr>
        <w:t>13. Justificativa</w:t>
      </w:r>
      <w:r>
        <w:rPr>
          <w:rFonts w:ascii="Verdana" w:eastAsia="Verdana" w:hAnsi="Verdana" w:cs="Verdana"/>
          <w:b/>
          <w:sz w:val="24"/>
          <w:szCs w:val="24"/>
        </w:rPr>
        <w:t xml:space="preserve"> para o Parcelamento ou não da Solução</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b/>
          <w:sz w:val="24"/>
          <w:szCs w:val="24"/>
        </w:rPr>
        <w:t>Fundamentação:</w:t>
      </w:r>
      <w:r>
        <w:rPr>
          <w:rFonts w:ascii="Verdana" w:eastAsia="Verdana" w:hAnsi="Verdana" w:cs="Verdana"/>
          <w:sz w:val="24"/>
          <w:szCs w:val="24"/>
        </w:rPr>
        <w:t xml:space="preserve"> Justificativas para o parcelamento ou não da solução. (inciso VIII do § 1° do art. 18 da Lei 14.133/21 e art. 7°, inciso VII da IN 40/2020).</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sz w:val="24"/>
          <w:szCs w:val="24"/>
        </w:rPr>
        <w:t>Não se aplica.</w:t>
      </w:r>
    </w:p>
    <w:p w:rsidR="006A7F04" w:rsidRDefault="00DF00A4">
      <w:pPr>
        <w:spacing w:before="200" w:line="360" w:lineRule="auto"/>
        <w:ind w:left="20"/>
        <w:jc w:val="both"/>
        <w:rPr>
          <w:rFonts w:ascii="Verdana" w:eastAsia="Verdana" w:hAnsi="Verdana" w:cs="Verdana"/>
          <w:b/>
          <w:sz w:val="24"/>
          <w:szCs w:val="24"/>
        </w:rPr>
      </w:pPr>
      <w:r>
        <w:rPr>
          <w:rFonts w:ascii="Verdana" w:eastAsia="Verdana" w:hAnsi="Verdana" w:cs="Verdana"/>
          <w:b/>
          <w:sz w:val="24"/>
          <w:szCs w:val="24"/>
        </w:rPr>
        <w:t>14. Demonstrativo dos resultados pretendidos</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b/>
          <w:sz w:val="24"/>
          <w:szCs w:val="24"/>
        </w:rPr>
        <w:t xml:space="preserve">Fundamentação: </w:t>
      </w:r>
      <w:r>
        <w:rPr>
          <w:rFonts w:ascii="Verdana" w:eastAsia="Verdana" w:hAnsi="Verdana" w:cs="Verdana"/>
          <w:sz w:val="24"/>
          <w:szCs w:val="24"/>
        </w:rPr>
        <w:t>Demonstrativo dos resultados pretendidos em termos de economicidade e de melhor aproveitamento dos recursos humanos, materiais e financeiros disponíveis; (inciso IX do § 1° do art. 18 da Lei 14.133/21</w:t>
      </w:r>
      <w:proofErr w:type="gramStart"/>
      <w:r>
        <w:rPr>
          <w:rFonts w:ascii="Verdana" w:eastAsia="Verdana" w:hAnsi="Verdana" w:cs="Verdana"/>
          <w:sz w:val="24"/>
          <w:szCs w:val="24"/>
        </w:rPr>
        <w:t>)</w:t>
      </w:r>
      <w:proofErr w:type="gramEnd"/>
    </w:p>
    <w:p w:rsidR="006A7F04" w:rsidRDefault="00DF00A4">
      <w:pPr>
        <w:shd w:val="clear" w:color="auto" w:fill="FFFFFF"/>
        <w:spacing w:before="200" w:after="240" w:line="360" w:lineRule="auto"/>
        <w:jc w:val="both"/>
        <w:rPr>
          <w:rFonts w:ascii="Verdana" w:eastAsia="Verdana" w:hAnsi="Verdana" w:cs="Verdana"/>
          <w:sz w:val="24"/>
          <w:szCs w:val="24"/>
        </w:rPr>
      </w:pPr>
      <w:r>
        <w:rPr>
          <w:rFonts w:ascii="Verdana" w:eastAsia="Verdana" w:hAnsi="Verdana" w:cs="Verdana"/>
          <w:sz w:val="24"/>
          <w:szCs w:val="24"/>
        </w:rPr>
        <w:t>Resultados pretendidos, em termos de ef</w:t>
      </w:r>
      <w:r>
        <w:rPr>
          <w:rFonts w:ascii="Verdana" w:eastAsia="Verdana" w:hAnsi="Verdana" w:cs="Verdana"/>
          <w:sz w:val="24"/>
          <w:szCs w:val="24"/>
        </w:rPr>
        <w:t>etividade e de desenvolvimento nacional sustentável; (Art. 7°, inciso X da IN 40/2020).</w:t>
      </w:r>
    </w:p>
    <w:p w:rsidR="006A7F04" w:rsidRDefault="00DF00A4">
      <w:pPr>
        <w:spacing w:before="240" w:after="240" w:line="360" w:lineRule="auto"/>
        <w:jc w:val="both"/>
        <w:rPr>
          <w:rFonts w:ascii="Verdana" w:eastAsia="Verdana" w:hAnsi="Verdana" w:cs="Verdana"/>
          <w:sz w:val="24"/>
          <w:szCs w:val="24"/>
        </w:rPr>
      </w:pPr>
      <w:r>
        <w:rPr>
          <w:rFonts w:ascii="Verdana" w:eastAsia="Verdana" w:hAnsi="Verdana" w:cs="Verdana"/>
          <w:sz w:val="24"/>
          <w:szCs w:val="24"/>
        </w:rPr>
        <w:t xml:space="preserve">A Aquisição de contratação de fornecimento de </w:t>
      </w:r>
      <w:proofErr w:type="spellStart"/>
      <w:r>
        <w:rPr>
          <w:rFonts w:ascii="Verdana" w:eastAsia="Verdana" w:hAnsi="Verdana" w:cs="Verdana"/>
          <w:sz w:val="24"/>
          <w:szCs w:val="24"/>
        </w:rPr>
        <w:t>marmitex</w:t>
      </w:r>
      <w:proofErr w:type="spellEnd"/>
      <w:r>
        <w:rPr>
          <w:rFonts w:ascii="Verdana" w:eastAsia="Verdana" w:hAnsi="Verdana" w:cs="Verdana"/>
          <w:sz w:val="24"/>
          <w:szCs w:val="24"/>
        </w:rPr>
        <w:t xml:space="preserve"> completas servidas de acordo com um </w:t>
      </w:r>
      <w:proofErr w:type="gramStart"/>
      <w:r>
        <w:rPr>
          <w:rFonts w:ascii="Verdana" w:eastAsia="Verdana" w:hAnsi="Verdana" w:cs="Verdana"/>
          <w:sz w:val="24"/>
          <w:szCs w:val="24"/>
        </w:rPr>
        <w:t>buffet</w:t>
      </w:r>
      <w:proofErr w:type="gramEnd"/>
      <w:r>
        <w:rPr>
          <w:rFonts w:ascii="Verdana" w:eastAsia="Verdana" w:hAnsi="Verdana" w:cs="Verdana"/>
          <w:sz w:val="24"/>
          <w:szCs w:val="24"/>
        </w:rPr>
        <w:t xml:space="preserve"> é uma abordagem abrangente para atender às </w:t>
      </w:r>
      <w:r>
        <w:rPr>
          <w:rFonts w:ascii="Verdana" w:eastAsia="Verdana" w:hAnsi="Verdana" w:cs="Verdana"/>
          <w:sz w:val="24"/>
          <w:szCs w:val="24"/>
        </w:rPr>
        <w:lastRenderedPageBreak/>
        <w:t>necessidades alimentares do</w:t>
      </w:r>
      <w:r>
        <w:rPr>
          <w:rFonts w:ascii="Verdana" w:eastAsia="Verdana" w:hAnsi="Verdana" w:cs="Verdana"/>
          <w:sz w:val="24"/>
          <w:szCs w:val="24"/>
        </w:rPr>
        <w:t>s trabalhadores que operam os maquinários no interior do município.</w:t>
      </w:r>
    </w:p>
    <w:p w:rsidR="006A7F04" w:rsidRDefault="00DF00A4">
      <w:pPr>
        <w:spacing w:before="240" w:after="240" w:line="360" w:lineRule="auto"/>
        <w:jc w:val="both"/>
        <w:rPr>
          <w:rFonts w:ascii="Verdana" w:eastAsia="Verdana" w:hAnsi="Verdana" w:cs="Verdana"/>
          <w:sz w:val="24"/>
          <w:szCs w:val="24"/>
        </w:rPr>
      </w:pPr>
      <w:r>
        <w:rPr>
          <w:rFonts w:ascii="Verdana" w:eastAsia="Verdana" w:hAnsi="Verdana" w:cs="Verdana"/>
          <w:sz w:val="24"/>
          <w:szCs w:val="24"/>
        </w:rPr>
        <w:t>A principal meta é garantir aos servidores uma alimentação de qualidade com padrões de segurança alimentar esperados, bem como variedade de alimentos.</w:t>
      </w:r>
    </w:p>
    <w:p w:rsidR="006A7F04" w:rsidRDefault="00DF00A4">
      <w:pPr>
        <w:spacing w:before="240" w:after="240" w:line="360" w:lineRule="auto"/>
        <w:jc w:val="both"/>
        <w:rPr>
          <w:rFonts w:ascii="Verdana" w:eastAsia="Verdana" w:hAnsi="Verdana" w:cs="Verdana"/>
          <w:b/>
          <w:sz w:val="24"/>
          <w:szCs w:val="24"/>
        </w:rPr>
      </w:pPr>
      <w:r>
        <w:rPr>
          <w:rFonts w:ascii="Verdana" w:eastAsia="Verdana" w:hAnsi="Verdana" w:cs="Verdana"/>
          <w:b/>
          <w:sz w:val="24"/>
          <w:szCs w:val="24"/>
        </w:rPr>
        <w:t>15. Providências prévias ao contrato</w:t>
      </w:r>
    </w:p>
    <w:p w:rsidR="006A7F04" w:rsidRDefault="00DF00A4">
      <w:pPr>
        <w:shd w:val="clear" w:color="auto" w:fill="FFFFFF"/>
        <w:spacing w:before="200" w:after="240" w:line="360" w:lineRule="auto"/>
        <w:jc w:val="both"/>
        <w:rPr>
          <w:rFonts w:ascii="Verdana" w:eastAsia="Verdana" w:hAnsi="Verdana" w:cs="Verdana"/>
          <w:sz w:val="24"/>
          <w:szCs w:val="24"/>
        </w:rPr>
      </w:pPr>
      <w:r>
        <w:rPr>
          <w:rFonts w:ascii="Verdana" w:eastAsia="Verdana" w:hAnsi="Verdana" w:cs="Verdana"/>
          <w:b/>
          <w:sz w:val="24"/>
          <w:szCs w:val="24"/>
        </w:rPr>
        <w:t>Fundamentação:</w:t>
      </w:r>
      <w:r>
        <w:rPr>
          <w:rFonts w:ascii="Verdana" w:eastAsia="Verdana" w:hAnsi="Verdana" w:cs="Verdana"/>
          <w:sz w:val="24"/>
          <w:szCs w:val="24"/>
        </w:rPr>
        <w:t xml:space="preserve"> Providências a serem adotadas pela administração previamente à celebração do contrato, inclusive quanto à capacitação de servidores ou de empregados para fiscalização e gestão contratual ou adequação do ambiente da organização; (inciso X do </w:t>
      </w:r>
      <w:r>
        <w:rPr>
          <w:rFonts w:ascii="Verdana" w:eastAsia="Verdana" w:hAnsi="Verdana" w:cs="Verdana"/>
          <w:sz w:val="24"/>
          <w:szCs w:val="24"/>
        </w:rPr>
        <w:t>§ 1° do art. 18 da Lei 14.133/21 e art. 7°, inciso XI da IN 40/2020).</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sz w:val="24"/>
          <w:szCs w:val="24"/>
        </w:rPr>
        <w:t>Desenvolver um Termo de Referência que descreva de maneira clara e objetiva os requisitos técnicos, operacionais e legais necessários para a contratação. Esse documento servirá como base</w:t>
      </w:r>
      <w:r>
        <w:rPr>
          <w:rFonts w:ascii="Verdana" w:eastAsia="Verdana" w:hAnsi="Verdana" w:cs="Verdana"/>
          <w:sz w:val="24"/>
          <w:szCs w:val="24"/>
        </w:rPr>
        <w:t xml:space="preserve"> para o edital de licitação.</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sz w:val="24"/>
          <w:szCs w:val="24"/>
        </w:rPr>
        <w:t>Realizar uma análise detalhada da viabilidade orçamentária para garantir que os recursos financeiros necessários para a contratação estejam disponíveis e alinhados com as diretrizes orçamentárias do município.</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sz w:val="24"/>
          <w:szCs w:val="24"/>
        </w:rPr>
        <w:t>Realizar a public</w:t>
      </w:r>
      <w:r>
        <w:rPr>
          <w:rFonts w:ascii="Verdana" w:eastAsia="Verdana" w:hAnsi="Verdana" w:cs="Verdana"/>
          <w:sz w:val="24"/>
          <w:szCs w:val="24"/>
        </w:rPr>
        <w:t>ação do edital de licitação em meios de comunicação oficiais, conforme as normas estabelecidas na legislação vigente, garantindo a ampla divulgação e a participação de interessados.</w:t>
      </w:r>
    </w:p>
    <w:p w:rsidR="006A7F04" w:rsidRDefault="00DF00A4">
      <w:pPr>
        <w:shd w:val="clear" w:color="auto" w:fill="FFFFFF"/>
        <w:spacing w:before="200" w:line="360" w:lineRule="auto"/>
        <w:ind w:left="20"/>
        <w:jc w:val="both"/>
        <w:rPr>
          <w:rFonts w:ascii="Verdana" w:eastAsia="Verdana" w:hAnsi="Verdana" w:cs="Verdana"/>
          <w:b/>
          <w:sz w:val="24"/>
          <w:szCs w:val="24"/>
        </w:rPr>
      </w:pPr>
      <w:r>
        <w:rPr>
          <w:rFonts w:ascii="Verdana" w:eastAsia="Verdana" w:hAnsi="Verdana" w:cs="Verdana"/>
          <w:b/>
          <w:sz w:val="24"/>
          <w:szCs w:val="24"/>
        </w:rPr>
        <w:t xml:space="preserve">16. Contratações </w:t>
      </w:r>
      <w:proofErr w:type="gramStart"/>
      <w:r>
        <w:rPr>
          <w:rFonts w:ascii="Verdana" w:eastAsia="Verdana" w:hAnsi="Verdana" w:cs="Verdana"/>
          <w:b/>
          <w:sz w:val="24"/>
          <w:szCs w:val="24"/>
        </w:rPr>
        <w:t>correlatas/interdependentes</w:t>
      </w:r>
      <w:proofErr w:type="gramEnd"/>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b/>
          <w:sz w:val="24"/>
          <w:szCs w:val="24"/>
        </w:rPr>
        <w:t>Fundamentação:</w:t>
      </w:r>
      <w:r>
        <w:rPr>
          <w:rFonts w:ascii="Verdana" w:eastAsia="Verdana" w:hAnsi="Verdana" w:cs="Verdana"/>
          <w:sz w:val="24"/>
          <w:szCs w:val="24"/>
        </w:rPr>
        <w:t xml:space="preserve"> Contratações c</w:t>
      </w:r>
      <w:r>
        <w:rPr>
          <w:rFonts w:ascii="Verdana" w:eastAsia="Verdana" w:hAnsi="Verdana" w:cs="Verdana"/>
          <w:sz w:val="24"/>
          <w:szCs w:val="24"/>
        </w:rPr>
        <w:t>orrelatas e/ou interdependentes (inciso XI do § 1° do art. 18 da Lei 14.133/21 e art. 7°, inciso VIII da IN 40/2020).</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sz w:val="24"/>
          <w:szCs w:val="24"/>
        </w:rPr>
        <w:t>Não se aplica</w:t>
      </w:r>
    </w:p>
    <w:p w:rsidR="006A7F04" w:rsidRDefault="00DF00A4">
      <w:pPr>
        <w:spacing w:before="200" w:line="360" w:lineRule="auto"/>
        <w:ind w:left="20"/>
        <w:jc w:val="both"/>
        <w:rPr>
          <w:rFonts w:ascii="Verdana" w:eastAsia="Verdana" w:hAnsi="Verdana" w:cs="Verdana"/>
          <w:b/>
          <w:sz w:val="24"/>
          <w:szCs w:val="24"/>
        </w:rPr>
      </w:pPr>
      <w:r>
        <w:rPr>
          <w:rFonts w:ascii="Verdana" w:eastAsia="Verdana" w:hAnsi="Verdana" w:cs="Verdana"/>
          <w:b/>
          <w:sz w:val="24"/>
          <w:szCs w:val="24"/>
        </w:rPr>
        <w:t>17. Possíveis Impactos Ambientais</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b/>
          <w:sz w:val="24"/>
          <w:szCs w:val="24"/>
        </w:rPr>
        <w:lastRenderedPageBreak/>
        <w:t>Fundamentação:</w:t>
      </w:r>
      <w:r>
        <w:rPr>
          <w:rFonts w:ascii="Verdana" w:eastAsia="Verdana" w:hAnsi="Verdana" w:cs="Verdana"/>
          <w:sz w:val="24"/>
          <w:szCs w:val="24"/>
        </w:rPr>
        <w:t xml:space="preserve"> Descrição de possíveis impactos ambientais e respectivas medidas mitigadora</w:t>
      </w:r>
      <w:r>
        <w:rPr>
          <w:rFonts w:ascii="Verdana" w:eastAsia="Verdana" w:hAnsi="Verdana" w:cs="Verdana"/>
          <w:sz w:val="24"/>
          <w:szCs w:val="24"/>
        </w:rPr>
        <w:t>s, incluídos requisitos de baixo consumo de energia e de outros recursos, bem como logística reversa para desfazimento e reciclagem de bens e refugos, quando aplicável. (inciso XII do § 1° do art. 18 da Lei 14.133/21).</w:t>
      </w:r>
    </w:p>
    <w:p w:rsidR="006A7F04" w:rsidRDefault="00DF00A4">
      <w:pPr>
        <w:shd w:val="clear" w:color="auto" w:fill="FFFFFF"/>
        <w:spacing w:before="200" w:after="240" w:line="360" w:lineRule="auto"/>
        <w:jc w:val="both"/>
        <w:rPr>
          <w:rFonts w:ascii="Verdana" w:eastAsia="Verdana" w:hAnsi="Verdana" w:cs="Verdana"/>
          <w:sz w:val="24"/>
          <w:szCs w:val="24"/>
        </w:rPr>
      </w:pPr>
      <w:r>
        <w:rPr>
          <w:rFonts w:ascii="Verdana" w:eastAsia="Verdana" w:hAnsi="Verdana" w:cs="Verdana"/>
          <w:sz w:val="24"/>
          <w:szCs w:val="24"/>
        </w:rPr>
        <w:t>Possíveis impactos ambientais e respe</w:t>
      </w:r>
      <w:r>
        <w:rPr>
          <w:rFonts w:ascii="Verdana" w:eastAsia="Verdana" w:hAnsi="Verdana" w:cs="Verdana"/>
          <w:sz w:val="24"/>
          <w:szCs w:val="24"/>
        </w:rPr>
        <w:t>ctivas medidas de tratamento. (Art. 7°, inciso XII da IN 40/2020).</w:t>
      </w:r>
    </w:p>
    <w:p w:rsidR="006A7F04" w:rsidRDefault="00DF00A4">
      <w:pPr>
        <w:spacing w:before="200" w:line="360" w:lineRule="auto"/>
        <w:ind w:left="20"/>
        <w:jc w:val="both"/>
        <w:rPr>
          <w:rFonts w:ascii="Verdana" w:eastAsia="Verdana" w:hAnsi="Verdana" w:cs="Verdana"/>
          <w:b/>
          <w:sz w:val="24"/>
          <w:szCs w:val="24"/>
        </w:rPr>
      </w:pPr>
      <w:r>
        <w:rPr>
          <w:rFonts w:ascii="Verdana" w:eastAsia="Verdana" w:hAnsi="Verdana" w:cs="Verdana"/>
          <w:b/>
          <w:sz w:val="24"/>
          <w:szCs w:val="24"/>
        </w:rPr>
        <w:t>18. Declaração de Viabilidade</w:t>
      </w:r>
    </w:p>
    <w:p w:rsidR="006A7F04" w:rsidRDefault="00DF00A4">
      <w:pPr>
        <w:spacing w:before="200" w:after="240" w:line="360" w:lineRule="auto"/>
        <w:jc w:val="both"/>
        <w:rPr>
          <w:rFonts w:ascii="Verdana" w:eastAsia="Verdana" w:hAnsi="Verdana" w:cs="Verdana"/>
          <w:color w:val="FF0000"/>
          <w:sz w:val="24"/>
          <w:szCs w:val="24"/>
        </w:rPr>
      </w:pPr>
      <w:r>
        <w:rPr>
          <w:rFonts w:ascii="Verdana" w:eastAsia="Verdana" w:hAnsi="Verdana" w:cs="Verdana"/>
          <w:sz w:val="24"/>
          <w:szCs w:val="24"/>
        </w:rPr>
        <w:t>Declaro Viável a Contratação.</w:t>
      </w:r>
    </w:p>
    <w:p w:rsidR="006A7F04" w:rsidRDefault="00DF00A4">
      <w:pPr>
        <w:spacing w:before="200" w:after="240" w:line="360" w:lineRule="auto"/>
        <w:jc w:val="both"/>
        <w:rPr>
          <w:rFonts w:ascii="Verdana" w:eastAsia="Verdana" w:hAnsi="Verdana" w:cs="Verdana"/>
          <w:b/>
          <w:sz w:val="24"/>
          <w:szCs w:val="24"/>
        </w:rPr>
      </w:pPr>
      <w:r>
        <w:rPr>
          <w:rFonts w:ascii="Verdana" w:eastAsia="Verdana" w:hAnsi="Verdana" w:cs="Verdana"/>
          <w:b/>
          <w:sz w:val="24"/>
          <w:szCs w:val="24"/>
        </w:rPr>
        <w:t>18.1. Justificativa da Viabilidade</w:t>
      </w:r>
    </w:p>
    <w:p w:rsidR="006A7F04" w:rsidRDefault="00DF00A4">
      <w:pPr>
        <w:spacing w:before="200" w:after="240" w:line="360" w:lineRule="auto"/>
        <w:jc w:val="both"/>
        <w:rPr>
          <w:rFonts w:ascii="Verdana" w:eastAsia="Verdana" w:hAnsi="Verdana" w:cs="Verdana"/>
          <w:sz w:val="24"/>
          <w:szCs w:val="24"/>
        </w:rPr>
      </w:pPr>
      <w:r>
        <w:rPr>
          <w:rFonts w:ascii="Verdana" w:eastAsia="Verdana" w:hAnsi="Verdana" w:cs="Verdana"/>
          <w:b/>
          <w:sz w:val="24"/>
          <w:szCs w:val="24"/>
        </w:rPr>
        <w:t>Fundamentação:</w:t>
      </w:r>
      <w:r>
        <w:rPr>
          <w:rFonts w:ascii="Verdana" w:eastAsia="Verdana" w:hAnsi="Verdana" w:cs="Verdana"/>
          <w:sz w:val="24"/>
          <w:szCs w:val="24"/>
        </w:rPr>
        <w:t xml:space="preserve"> Posicionamento conclusivo sobre a adequação da contratação para o atendimento da necessidade a que se destina. (inciso XIII do § 1° do art. 18 da Lei 14.133/21).</w:t>
      </w:r>
    </w:p>
    <w:p w:rsidR="006A7F04" w:rsidRDefault="00DF00A4">
      <w:pPr>
        <w:shd w:val="clear" w:color="auto" w:fill="FFFFFF"/>
        <w:spacing w:before="200" w:after="240" w:line="360" w:lineRule="auto"/>
        <w:jc w:val="both"/>
        <w:rPr>
          <w:rFonts w:ascii="Verdana" w:eastAsia="Verdana" w:hAnsi="Verdana" w:cs="Verdana"/>
          <w:sz w:val="24"/>
          <w:szCs w:val="24"/>
        </w:rPr>
      </w:pPr>
      <w:r>
        <w:rPr>
          <w:rFonts w:ascii="Verdana" w:eastAsia="Verdana" w:hAnsi="Verdana" w:cs="Verdana"/>
          <w:sz w:val="24"/>
          <w:szCs w:val="24"/>
        </w:rPr>
        <w:t>Posicionamento conclusivo sobre a viabilidade e razoabilidade da contratação. (Art. 7°, inciso XIII da IN 40/2020).</w:t>
      </w:r>
    </w:p>
    <w:p w:rsidR="006A7F04" w:rsidRDefault="00DF00A4">
      <w:pPr>
        <w:shd w:val="clear" w:color="auto" w:fill="FFFFFF"/>
        <w:spacing w:after="240" w:line="360" w:lineRule="auto"/>
        <w:jc w:val="both"/>
        <w:rPr>
          <w:rFonts w:ascii="Verdana" w:eastAsia="Verdana" w:hAnsi="Verdana" w:cs="Verdana"/>
          <w:sz w:val="24"/>
          <w:szCs w:val="24"/>
        </w:rPr>
      </w:pPr>
      <w:r>
        <w:rPr>
          <w:rFonts w:ascii="Verdana" w:eastAsia="Verdana" w:hAnsi="Verdana" w:cs="Verdana"/>
          <w:sz w:val="24"/>
          <w:szCs w:val="24"/>
        </w:rPr>
        <w:t xml:space="preserve">Com base no estudo técnico preliminar realizado para a contratação de serviço de fornecimento de </w:t>
      </w:r>
      <w:proofErr w:type="spellStart"/>
      <w:r>
        <w:rPr>
          <w:rFonts w:ascii="Verdana" w:eastAsia="Verdana" w:hAnsi="Verdana" w:cs="Verdana"/>
          <w:sz w:val="24"/>
          <w:szCs w:val="24"/>
        </w:rPr>
        <w:t>marmitex</w:t>
      </w:r>
      <w:proofErr w:type="spellEnd"/>
      <w:r>
        <w:rPr>
          <w:rFonts w:ascii="Verdana" w:eastAsia="Verdana" w:hAnsi="Verdana" w:cs="Verdana"/>
          <w:sz w:val="24"/>
          <w:szCs w:val="24"/>
        </w:rPr>
        <w:t xml:space="preserve"> completas para atender a demanda a</w:t>
      </w:r>
      <w:r>
        <w:rPr>
          <w:rFonts w:ascii="Verdana" w:eastAsia="Verdana" w:hAnsi="Verdana" w:cs="Verdana"/>
          <w:sz w:val="24"/>
          <w:szCs w:val="24"/>
        </w:rPr>
        <w:t xml:space="preserve"> Secretaria Municipal de Infraestrutura assim concluímos que a referida contratação é viável e atende aos interesses públicos.</w:t>
      </w:r>
    </w:p>
    <w:p w:rsidR="006A7F04" w:rsidRDefault="00DF00A4">
      <w:pPr>
        <w:shd w:val="clear" w:color="auto" w:fill="FFFFFF"/>
        <w:spacing w:before="240" w:after="240" w:line="360" w:lineRule="auto"/>
        <w:jc w:val="both"/>
        <w:rPr>
          <w:rFonts w:ascii="Verdana" w:eastAsia="Verdana" w:hAnsi="Verdana" w:cs="Verdana"/>
          <w:sz w:val="24"/>
          <w:szCs w:val="24"/>
        </w:rPr>
      </w:pPr>
      <w:r>
        <w:rPr>
          <w:rFonts w:ascii="Verdana" w:eastAsia="Verdana" w:hAnsi="Verdana" w:cs="Verdana"/>
          <w:sz w:val="24"/>
          <w:szCs w:val="24"/>
        </w:rPr>
        <w:t xml:space="preserve">A necessidade de serviços de fornecimento de </w:t>
      </w:r>
      <w:proofErr w:type="spellStart"/>
      <w:r>
        <w:rPr>
          <w:rFonts w:ascii="Verdana" w:eastAsia="Verdana" w:hAnsi="Verdana" w:cs="Verdana"/>
          <w:sz w:val="24"/>
          <w:szCs w:val="24"/>
        </w:rPr>
        <w:t>marmitex</w:t>
      </w:r>
      <w:proofErr w:type="spellEnd"/>
      <w:r>
        <w:rPr>
          <w:rFonts w:ascii="Verdana" w:eastAsia="Verdana" w:hAnsi="Verdana" w:cs="Verdana"/>
          <w:sz w:val="24"/>
          <w:szCs w:val="24"/>
        </w:rPr>
        <w:t xml:space="preserve"> é fundamentada na garantia de uma alimentação de qualidade e na continuidad</w:t>
      </w:r>
      <w:r>
        <w:rPr>
          <w:rFonts w:ascii="Verdana" w:eastAsia="Verdana" w:hAnsi="Verdana" w:cs="Verdana"/>
          <w:sz w:val="24"/>
          <w:szCs w:val="24"/>
        </w:rPr>
        <w:t>e da manutenção das estradas do interior, bem como do fornecimento dos demais serviços prestados pela Secretaria de Infraestrutura.</w:t>
      </w:r>
    </w:p>
    <w:p w:rsidR="006A7F04" w:rsidRDefault="00DF00A4">
      <w:pPr>
        <w:shd w:val="clear" w:color="auto" w:fill="FFFFFF"/>
        <w:spacing w:before="240" w:after="240" w:line="360" w:lineRule="auto"/>
        <w:jc w:val="both"/>
        <w:rPr>
          <w:rFonts w:ascii="Verdana" w:eastAsia="Verdana" w:hAnsi="Verdana" w:cs="Verdana"/>
          <w:b/>
          <w:sz w:val="24"/>
          <w:szCs w:val="24"/>
        </w:rPr>
      </w:pPr>
      <w:r>
        <w:rPr>
          <w:rFonts w:ascii="Verdana" w:eastAsia="Verdana" w:hAnsi="Verdana" w:cs="Verdana"/>
          <w:sz w:val="24"/>
          <w:szCs w:val="24"/>
        </w:rPr>
        <w:t xml:space="preserve">Os requisitos estabelecidos para a contratação incluem o fornecimento de </w:t>
      </w:r>
      <w:proofErr w:type="spellStart"/>
      <w:r>
        <w:rPr>
          <w:rFonts w:ascii="Verdana" w:eastAsia="Verdana" w:hAnsi="Verdana" w:cs="Verdana"/>
          <w:sz w:val="24"/>
          <w:szCs w:val="24"/>
        </w:rPr>
        <w:t>marmitex</w:t>
      </w:r>
      <w:proofErr w:type="spellEnd"/>
      <w:r>
        <w:rPr>
          <w:rFonts w:ascii="Verdana" w:eastAsia="Verdana" w:hAnsi="Verdana" w:cs="Verdana"/>
          <w:sz w:val="24"/>
          <w:szCs w:val="24"/>
        </w:rPr>
        <w:t xml:space="preserve"> de qualidade e dentro das normas de higien</w:t>
      </w:r>
      <w:r>
        <w:rPr>
          <w:rFonts w:ascii="Verdana" w:eastAsia="Verdana" w:hAnsi="Verdana" w:cs="Verdana"/>
          <w:sz w:val="24"/>
          <w:szCs w:val="24"/>
        </w:rPr>
        <w:t>e e manipulação de alimentos.</w:t>
      </w:r>
    </w:p>
    <w:p w:rsidR="006A7F04" w:rsidRDefault="00DF00A4">
      <w:pPr>
        <w:shd w:val="clear" w:color="auto" w:fill="FFFFFF"/>
        <w:spacing w:before="240" w:after="240" w:line="360" w:lineRule="auto"/>
        <w:jc w:val="both"/>
        <w:rPr>
          <w:rFonts w:ascii="Verdana" w:eastAsia="Verdana" w:hAnsi="Verdana" w:cs="Verdana"/>
          <w:b/>
          <w:sz w:val="24"/>
          <w:szCs w:val="24"/>
        </w:rPr>
      </w:pPr>
      <w:r>
        <w:rPr>
          <w:rFonts w:ascii="Verdana" w:eastAsia="Verdana" w:hAnsi="Verdana" w:cs="Verdana"/>
          <w:sz w:val="24"/>
          <w:szCs w:val="24"/>
        </w:rPr>
        <w:lastRenderedPageBreak/>
        <w:t xml:space="preserve">A solução proposta engloba uma abordagem abrangente e eficaz, visando garantir segurança e eficiência no fornecimento de </w:t>
      </w:r>
      <w:proofErr w:type="spellStart"/>
      <w:r>
        <w:rPr>
          <w:rFonts w:ascii="Verdana" w:eastAsia="Verdana" w:hAnsi="Verdana" w:cs="Verdana"/>
          <w:sz w:val="24"/>
          <w:szCs w:val="24"/>
        </w:rPr>
        <w:t>marmitex</w:t>
      </w:r>
      <w:proofErr w:type="spellEnd"/>
      <w:r>
        <w:rPr>
          <w:rFonts w:ascii="Verdana" w:eastAsia="Verdana" w:hAnsi="Verdana" w:cs="Verdana"/>
          <w:sz w:val="24"/>
          <w:szCs w:val="24"/>
        </w:rPr>
        <w:t xml:space="preserve"> em conformidade com as normas vigentes.</w:t>
      </w:r>
    </w:p>
    <w:p w:rsidR="006A7F04" w:rsidRDefault="00DF00A4">
      <w:pPr>
        <w:shd w:val="clear" w:color="auto" w:fill="FFFFFF"/>
        <w:spacing w:before="240" w:after="240" w:line="360" w:lineRule="auto"/>
        <w:jc w:val="both"/>
        <w:rPr>
          <w:rFonts w:ascii="Verdana" w:eastAsia="Verdana" w:hAnsi="Verdana" w:cs="Verdana"/>
          <w:b/>
          <w:sz w:val="24"/>
          <w:szCs w:val="24"/>
        </w:rPr>
      </w:pPr>
      <w:r>
        <w:rPr>
          <w:rFonts w:ascii="Verdana" w:eastAsia="Verdana" w:hAnsi="Verdana" w:cs="Verdana"/>
          <w:sz w:val="24"/>
          <w:szCs w:val="24"/>
        </w:rPr>
        <w:t xml:space="preserve">Os resultados pretendidos indicam impactos positivos ao </w:t>
      </w:r>
      <w:r>
        <w:rPr>
          <w:rFonts w:ascii="Verdana" w:eastAsia="Verdana" w:hAnsi="Verdana" w:cs="Verdana"/>
          <w:sz w:val="24"/>
          <w:szCs w:val="24"/>
        </w:rPr>
        <w:t xml:space="preserve">fornecer uma alimentação de qualidade bem como garantir a continuidade dos serviços prestados à população </w:t>
      </w:r>
      <w:proofErr w:type="spellStart"/>
      <w:r>
        <w:rPr>
          <w:rFonts w:ascii="Verdana" w:eastAsia="Verdana" w:hAnsi="Verdana" w:cs="Verdana"/>
          <w:sz w:val="24"/>
          <w:szCs w:val="24"/>
        </w:rPr>
        <w:t>abelardense</w:t>
      </w:r>
      <w:proofErr w:type="spellEnd"/>
      <w:r>
        <w:rPr>
          <w:rFonts w:ascii="Verdana" w:eastAsia="Verdana" w:hAnsi="Verdana" w:cs="Verdana"/>
          <w:sz w:val="24"/>
          <w:szCs w:val="24"/>
        </w:rPr>
        <w:t>.</w:t>
      </w:r>
    </w:p>
    <w:p w:rsidR="006A7F04" w:rsidRDefault="00DF00A4">
      <w:pPr>
        <w:shd w:val="clear" w:color="auto" w:fill="FFFFFF"/>
        <w:spacing w:before="240" w:after="240" w:line="360" w:lineRule="auto"/>
        <w:jc w:val="both"/>
        <w:rPr>
          <w:rFonts w:ascii="Verdana" w:eastAsia="Verdana" w:hAnsi="Verdana" w:cs="Verdana"/>
          <w:sz w:val="24"/>
          <w:szCs w:val="24"/>
        </w:rPr>
      </w:pPr>
      <w:r>
        <w:rPr>
          <w:rFonts w:ascii="Verdana" w:eastAsia="Verdana" w:hAnsi="Verdana" w:cs="Verdana"/>
          <w:sz w:val="24"/>
          <w:szCs w:val="24"/>
        </w:rPr>
        <w:t xml:space="preserve">Diante do exposto, entendemos que a contratação de empresa para o fornecimento de </w:t>
      </w:r>
      <w:proofErr w:type="spellStart"/>
      <w:r>
        <w:rPr>
          <w:rFonts w:ascii="Verdana" w:eastAsia="Verdana" w:hAnsi="Verdana" w:cs="Verdana"/>
          <w:sz w:val="24"/>
          <w:szCs w:val="24"/>
        </w:rPr>
        <w:t>marmitex</w:t>
      </w:r>
      <w:proofErr w:type="spellEnd"/>
      <w:r>
        <w:rPr>
          <w:rFonts w:ascii="Verdana" w:eastAsia="Verdana" w:hAnsi="Verdana" w:cs="Verdana"/>
          <w:sz w:val="24"/>
          <w:szCs w:val="24"/>
        </w:rPr>
        <w:t>, assim não é apenas legalmente respaldada, mas</w:t>
      </w:r>
      <w:r>
        <w:rPr>
          <w:rFonts w:ascii="Verdana" w:eastAsia="Verdana" w:hAnsi="Verdana" w:cs="Verdana"/>
          <w:sz w:val="24"/>
          <w:szCs w:val="24"/>
        </w:rPr>
        <w:t xml:space="preserve"> também altamente justificada sob a perspectiva do interesse público. A prestação desse serviço contribuirá significativamente para</w:t>
      </w:r>
      <w:proofErr w:type="gramStart"/>
      <w:r>
        <w:rPr>
          <w:rFonts w:ascii="Verdana" w:eastAsia="Verdana" w:hAnsi="Verdana" w:cs="Verdana"/>
          <w:sz w:val="24"/>
          <w:szCs w:val="24"/>
        </w:rPr>
        <w:t xml:space="preserve">  </w:t>
      </w:r>
      <w:proofErr w:type="gramEnd"/>
      <w:r>
        <w:rPr>
          <w:rFonts w:ascii="Verdana" w:eastAsia="Verdana" w:hAnsi="Verdana" w:cs="Verdana"/>
          <w:sz w:val="24"/>
          <w:szCs w:val="24"/>
        </w:rPr>
        <w:t>garantir uma alimentação de qualidade e a redução de custos a longo prazo.</w:t>
      </w:r>
    </w:p>
    <w:p w:rsidR="006A7F04" w:rsidRDefault="00DF00A4">
      <w:pPr>
        <w:spacing w:before="200" w:after="240" w:line="360" w:lineRule="auto"/>
        <w:jc w:val="both"/>
        <w:rPr>
          <w:rFonts w:ascii="Verdana" w:eastAsia="Verdana" w:hAnsi="Verdana" w:cs="Verdana"/>
          <w:sz w:val="24"/>
          <w:szCs w:val="24"/>
        </w:rPr>
      </w:pPr>
      <w:bookmarkStart w:id="1" w:name="_heading=h.2vypdfeonola" w:colFirst="0" w:colLast="0"/>
      <w:bookmarkEnd w:id="1"/>
      <w:r>
        <w:rPr>
          <w:rFonts w:ascii="Verdana" w:eastAsia="Verdana" w:hAnsi="Verdana" w:cs="Verdana"/>
          <w:b/>
          <w:sz w:val="24"/>
          <w:szCs w:val="24"/>
        </w:rPr>
        <w:t>19. Responsável</w:t>
      </w:r>
    </w:p>
    <w:p w:rsidR="006A7F04" w:rsidRDefault="006A7F04">
      <w:pPr>
        <w:spacing w:before="200" w:after="240" w:line="360" w:lineRule="auto"/>
        <w:jc w:val="center"/>
        <w:rPr>
          <w:rFonts w:ascii="Verdana" w:eastAsia="Verdana" w:hAnsi="Verdana" w:cs="Verdana"/>
          <w:sz w:val="24"/>
          <w:szCs w:val="24"/>
        </w:rPr>
      </w:pPr>
      <w:bookmarkStart w:id="2" w:name="_heading=h.3j1c0o2h1bnc" w:colFirst="0" w:colLast="0"/>
      <w:bookmarkEnd w:id="2"/>
    </w:p>
    <w:p w:rsidR="006A7F04" w:rsidRDefault="00DF00A4">
      <w:pPr>
        <w:spacing w:line="360" w:lineRule="auto"/>
        <w:jc w:val="right"/>
        <w:rPr>
          <w:rFonts w:ascii="Verdana" w:eastAsia="Verdana" w:hAnsi="Verdana" w:cs="Verdana"/>
          <w:sz w:val="24"/>
          <w:szCs w:val="24"/>
        </w:rPr>
      </w:pPr>
      <w:bookmarkStart w:id="3" w:name="_heading=h.gjdgxs" w:colFirst="0" w:colLast="0"/>
      <w:bookmarkEnd w:id="3"/>
      <w:r>
        <w:rPr>
          <w:rFonts w:ascii="Verdana" w:eastAsia="Verdana" w:hAnsi="Verdana" w:cs="Verdana"/>
          <w:sz w:val="24"/>
          <w:szCs w:val="24"/>
        </w:rPr>
        <w:t>Abelardo Luz, SC, 12 de feverei</w:t>
      </w:r>
      <w:r>
        <w:rPr>
          <w:rFonts w:ascii="Verdana" w:eastAsia="Verdana" w:hAnsi="Verdana" w:cs="Verdana"/>
          <w:sz w:val="24"/>
          <w:szCs w:val="24"/>
        </w:rPr>
        <w:t>ro de 2024.</w:t>
      </w:r>
    </w:p>
    <w:p w:rsidR="006A7F04" w:rsidRDefault="006A7F04">
      <w:pPr>
        <w:spacing w:after="200"/>
        <w:jc w:val="center"/>
        <w:rPr>
          <w:rFonts w:ascii="Verdana" w:eastAsia="Verdana" w:hAnsi="Verdana" w:cs="Verdana"/>
          <w:sz w:val="24"/>
          <w:szCs w:val="24"/>
        </w:rPr>
      </w:pPr>
    </w:p>
    <w:p w:rsidR="006A7F04" w:rsidRDefault="006A7F04">
      <w:pPr>
        <w:spacing w:before="200" w:line="276" w:lineRule="auto"/>
        <w:rPr>
          <w:rFonts w:ascii="Verdana" w:eastAsia="Verdana" w:hAnsi="Verdana" w:cs="Verdana"/>
          <w:sz w:val="24"/>
          <w:szCs w:val="24"/>
        </w:rPr>
      </w:pPr>
    </w:p>
    <w:p w:rsidR="006A7F04" w:rsidRDefault="006A7F04">
      <w:pPr>
        <w:spacing w:after="200"/>
        <w:rPr>
          <w:rFonts w:ascii="Verdana" w:eastAsia="Verdana" w:hAnsi="Verdana" w:cs="Verdana"/>
          <w:sz w:val="24"/>
          <w:szCs w:val="24"/>
        </w:rPr>
      </w:pPr>
    </w:p>
    <w:p w:rsidR="006A7F04" w:rsidRDefault="00DF00A4">
      <w:pPr>
        <w:spacing w:before="200" w:line="276" w:lineRule="auto"/>
        <w:jc w:val="center"/>
        <w:rPr>
          <w:rFonts w:ascii="Verdana" w:eastAsia="Verdana" w:hAnsi="Verdana" w:cs="Verdana"/>
          <w:sz w:val="24"/>
          <w:szCs w:val="24"/>
        </w:rPr>
      </w:pPr>
      <w:r>
        <w:rPr>
          <w:rFonts w:ascii="Verdana" w:eastAsia="Verdana" w:hAnsi="Verdana" w:cs="Verdana"/>
          <w:sz w:val="24"/>
          <w:szCs w:val="24"/>
        </w:rPr>
        <w:t xml:space="preserve">________________________                                      </w:t>
      </w:r>
    </w:p>
    <w:p w:rsidR="006A7F04" w:rsidRDefault="00DF00A4">
      <w:pPr>
        <w:spacing w:after="200"/>
        <w:jc w:val="center"/>
        <w:rPr>
          <w:rFonts w:ascii="Verdana" w:eastAsia="Verdana" w:hAnsi="Verdana" w:cs="Verdana"/>
          <w:sz w:val="24"/>
          <w:szCs w:val="24"/>
        </w:rPr>
      </w:pPr>
      <w:r>
        <w:rPr>
          <w:rFonts w:ascii="Verdana" w:eastAsia="Verdana" w:hAnsi="Verdana" w:cs="Verdana"/>
          <w:sz w:val="24"/>
          <w:szCs w:val="24"/>
        </w:rPr>
        <w:t xml:space="preserve">Eduardo </w:t>
      </w:r>
      <w:proofErr w:type="spellStart"/>
      <w:r>
        <w:rPr>
          <w:rFonts w:ascii="Verdana" w:eastAsia="Verdana" w:hAnsi="Verdana" w:cs="Verdana"/>
          <w:sz w:val="24"/>
          <w:szCs w:val="24"/>
        </w:rPr>
        <w:t>Palaoro</w:t>
      </w:r>
      <w:proofErr w:type="spellEnd"/>
    </w:p>
    <w:p w:rsidR="006A7F04" w:rsidRDefault="00DF00A4">
      <w:pPr>
        <w:spacing w:after="200"/>
        <w:jc w:val="center"/>
        <w:rPr>
          <w:rFonts w:ascii="Verdana" w:eastAsia="Verdana" w:hAnsi="Verdana" w:cs="Verdana"/>
          <w:sz w:val="24"/>
          <w:szCs w:val="24"/>
        </w:rPr>
      </w:pPr>
      <w:r>
        <w:rPr>
          <w:rFonts w:ascii="Verdana" w:eastAsia="Verdana" w:hAnsi="Verdana" w:cs="Verdana"/>
          <w:sz w:val="24"/>
          <w:szCs w:val="24"/>
        </w:rPr>
        <w:t>Secretário Municipal de Infraestrutura</w:t>
      </w:r>
    </w:p>
    <w:p w:rsidR="006A7F04" w:rsidRDefault="006A7F04">
      <w:pPr>
        <w:spacing w:after="200"/>
        <w:jc w:val="center"/>
        <w:rPr>
          <w:rFonts w:ascii="Verdana" w:eastAsia="Verdana" w:hAnsi="Verdana" w:cs="Verdana"/>
          <w:sz w:val="24"/>
          <w:szCs w:val="24"/>
        </w:rPr>
      </w:pPr>
    </w:p>
    <w:p w:rsidR="006A7F04" w:rsidRDefault="006A7F04">
      <w:pPr>
        <w:spacing w:after="200"/>
        <w:rPr>
          <w:rFonts w:ascii="Verdana" w:eastAsia="Verdana" w:hAnsi="Verdana" w:cs="Verdana"/>
          <w:sz w:val="24"/>
          <w:szCs w:val="24"/>
        </w:rPr>
      </w:pPr>
    </w:p>
    <w:p w:rsidR="006A7F04" w:rsidRDefault="006A7F04">
      <w:pPr>
        <w:spacing w:after="200"/>
        <w:jc w:val="center"/>
        <w:rPr>
          <w:rFonts w:ascii="Verdana" w:eastAsia="Verdana" w:hAnsi="Verdana" w:cs="Verdana"/>
          <w:sz w:val="24"/>
          <w:szCs w:val="24"/>
        </w:rPr>
      </w:pPr>
    </w:p>
    <w:sectPr w:rsidR="006A7F04">
      <w:headerReference w:type="even" r:id="rId10"/>
      <w:headerReference w:type="default" r:id="rId11"/>
      <w:footerReference w:type="even" r:id="rId12"/>
      <w:headerReference w:type="first" r:id="rId13"/>
      <w:footerReference w:type="first" r:id="rId14"/>
      <w:pgSz w:w="11906" w:h="16838"/>
      <w:pgMar w:top="1417" w:right="1144" w:bottom="1417" w:left="1275"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A4" w:rsidRDefault="00DF00A4">
      <w:r>
        <w:separator/>
      </w:r>
    </w:p>
  </w:endnote>
  <w:endnote w:type="continuationSeparator" w:id="0">
    <w:p w:rsidR="00DF00A4" w:rsidRDefault="00DF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4" w:rsidRDefault="00DF00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A7F04" w:rsidRDefault="006A7F0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4" w:rsidRDefault="006A7F0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A4" w:rsidRDefault="00DF00A4">
      <w:r>
        <w:separator/>
      </w:r>
    </w:p>
  </w:footnote>
  <w:footnote w:type="continuationSeparator" w:id="0">
    <w:p w:rsidR="00DF00A4" w:rsidRDefault="00DF0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4" w:rsidRDefault="00DF00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A7F04" w:rsidRDefault="006A7F04">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4" w:rsidRDefault="00DF00A4">
    <w:pPr>
      <w:tabs>
        <w:tab w:val="center" w:pos="4320"/>
        <w:tab w:val="right" w:pos="8640"/>
      </w:tabs>
      <w:ind w:left="-1275"/>
      <w:rPr>
        <w:rFonts w:ascii="Arial" w:eastAsia="Arial" w:hAnsi="Arial" w:cs="Arial"/>
        <w:i/>
        <w:color w:val="000000"/>
        <w:sz w:val="32"/>
        <w:szCs w:val="32"/>
      </w:rPr>
    </w:pPr>
    <w:r>
      <w:rPr>
        <w:rFonts w:ascii="Arial" w:eastAsia="Arial" w:hAnsi="Arial" w:cs="Arial"/>
        <w:i/>
        <w:noProof/>
        <w:sz w:val="32"/>
        <w:szCs w:val="32"/>
      </w:rPr>
      <w:drawing>
        <wp:inline distT="0" distB="0" distL="0" distR="0">
          <wp:extent cx="7548563" cy="1236077"/>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8563" cy="1236077"/>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4" w:rsidRDefault="006A7F04">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A7F04"/>
    <w:rsid w:val="006A7F04"/>
    <w:rsid w:val="00814785"/>
    <w:rsid w:val="00DF00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jc w:val="center"/>
      <w:outlineLvl w:val="0"/>
    </w:pPr>
    <w:rPr>
      <w:b/>
      <w:sz w:val="22"/>
      <w:szCs w:val="22"/>
    </w:rPr>
  </w:style>
  <w:style w:type="paragraph" w:styleId="Ttulo2">
    <w:name w:val="heading 2"/>
    <w:basedOn w:val="Normal"/>
    <w:next w:val="Normal"/>
    <w:pPr>
      <w:keepNext/>
      <w:jc w:val="both"/>
      <w:outlineLvl w:val="1"/>
    </w:pPr>
    <w:rPr>
      <w:b/>
      <w:sz w:val="21"/>
      <w:szCs w:val="21"/>
    </w:rPr>
  </w:style>
  <w:style w:type="paragraph" w:styleId="Ttulo3">
    <w:name w:val="heading 3"/>
    <w:basedOn w:val="Normal"/>
    <w:next w:val="Normal"/>
    <w:pPr>
      <w:keepNext/>
      <w:outlineLvl w:val="2"/>
    </w:pPr>
    <w:rPr>
      <w:b/>
      <w:sz w:val="36"/>
      <w:szCs w:val="36"/>
    </w:rPr>
  </w:style>
  <w:style w:type="paragraph" w:styleId="Ttulo4">
    <w:name w:val="heading 4"/>
    <w:basedOn w:val="Normal"/>
    <w:next w:val="Normal"/>
    <w:pPr>
      <w:keepNext/>
      <w:outlineLvl w:val="3"/>
    </w:pPr>
    <w:rPr>
      <w:b/>
      <w:sz w:val="24"/>
      <w:szCs w:val="24"/>
    </w:rPr>
  </w:style>
  <w:style w:type="paragraph" w:styleId="Ttulo5">
    <w:name w:val="heading 5"/>
    <w:basedOn w:val="Normal"/>
    <w:next w:val="Normal"/>
    <w:pPr>
      <w:keepNext/>
      <w:jc w:val="center"/>
      <w:outlineLvl w:val="4"/>
    </w:pPr>
    <w:rPr>
      <w:sz w:val="24"/>
      <w:szCs w:val="24"/>
    </w:rPr>
  </w:style>
  <w:style w:type="paragraph" w:styleId="Ttulo6">
    <w:name w:val="heading 6"/>
    <w:basedOn w:val="Normal"/>
    <w:next w:val="Normal"/>
    <w:pPr>
      <w:keepNext/>
      <w:jc w:val="center"/>
      <w:outlineLvl w:val="5"/>
    </w:pPr>
    <w:rPr>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0" w:type="dxa"/>
        <w:left w:w="108" w:type="dxa"/>
        <w:bottom w:w="0" w:type="dxa"/>
        <w:right w:w="108" w:type="dxa"/>
      </w:tblCellMar>
    </w:tblPr>
  </w:style>
  <w:style w:type="table" w:customStyle="1" w:styleId="af0">
    <w:basedOn w:val="TableNormal3"/>
    <w:tblPr>
      <w:tblStyleRowBandSize w:val="1"/>
      <w:tblStyleColBandSize w:val="1"/>
      <w:tblCellMar>
        <w:top w:w="0" w:type="dxa"/>
        <w:left w:w="108" w:type="dxa"/>
        <w:bottom w:w="0" w:type="dxa"/>
        <w:right w:w="108"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0" w:type="dxa"/>
        <w:left w:w="108" w:type="dxa"/>
        <w:bottom w:w="0" w:type="dxa"/>
        <w:right w:w="108"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table" w:customStyle="1" w:styleId="af7">
    <w:basedOn w:val="TableNormal3"/>
    <w:tblPr>
      <w:tblStyleRowBandSize w:val="1"/>
      <w:tblStyleColBandSize w:val="1"/>
      <w:tblCellMar>
        <w:top w:w="0" w:type="dxa"/>
        <w:left w:w="108" w:type="dxa"/>
        <w:bottom w:w="0" w:type="dxa"/>
        <w:right w:w="108" w:type="dxa"/>
      </w:tblCellMar>
    </w:tblPr>
  </w:style>
  <w:style w:type="table" w:customStyle="1" w:styleId="af8">
    <w:basedOn w:val="TableNormal3"/>
    <w:tblPr>
      <w:tblStyleRowBandSize w:val="1"/>
      <w:tblStyleColBandSize w:val="1"/>
      <w:tblCellMar>
        <w:top w:w="0" w:type="dxa"/>
        <w:left w:w="108" w:type="dxa"/>
        <w:bottom w:w="0" w:type="dxa"/>
        <w:right w:w="108"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top w:w="0" w:type="dxa"/>
        <w:left w:w="108" w:type="dxa"/>
        <w:bottom w:w="0" w:type="dxa"/>
        <w:right w:w="108"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814785"/>
    <w:rPr>
      <w:rFonts w:ascii="Tahoma" w:hAnsi="Tahoma" w:cs="Tahoma"/>
      <w:sz w:val="16"/>
      <w:szCs w:val="16"/>
    </w:rPr>
  </w:style>
  <w:style w:type="character" w:customStyle="1" w:styleId="TextodebaloChar">
    <w:name w:val="Texto de balão Char"/>
    <w:basedOn w:val="Fontepargpadro"/>
    <w:link w:val="Textodebalo"/>
    <w:uiPriority w:val="99"/>
    <w:semiHidden/>
    <w:rsid w:val="00814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jc w:val="center"/>
      <w:outlineLvl w:val="0"/>
    </w:pPr>
    <w:rPr>
      <w:b/>
      <w:sz w:val="22"/>
      <w:szCs w:val="22"/>
    </w:rPr>
  </w:style>
  <w:style w:type="paragraph" w:styleId="Ttulo2">
    <w:name w:val="heading 2"/>
    <w:basedOn w:val="Normal"/>
    <w:next w:val="Normal"/>
    <w:pPr>
      <w:keepNext/>
      <w:jc w:val="both"/>
      <w:outlineLvl w:val="1"/>
    </w:pPr>
    <w:rPr>
      <w:b/>
      <w:sz w:val="21"/>
      <w:szCs w:val="21"/>
    </w:rPr>
  </w:style>
  <w:style w:type="paragraph" w:styleId="Ttulo3">
    <w:name w:val="heading 3"/>
    <w:basedOn w:val="Normal"/>
    <w:next w:val="Normal"/>
    <w:pPr>
      <w:keepNext/>
      <w:outlineLvl w:val="2"/>
    </w:pPr>
    <w:rPr>
      <w:b/>
      <w:sz w:val="36"/>
      <w:szCs w:val="36"/>
    </w:rPr>
  </w:style>
  <w:style w:type="paragraph" w:styleId="Ttulo4">
    <w:name w:val="heading 4"/>
    <w:basedOn w:val="Normal"/>
    <w:next w:val="Normal"/>
    <w:pPr>
      <w:keepNext/>
      <w:outlineLvl w:val="3"/>
    </w:pPr>
    <w:rPr>
      <w:b/>
      <w:sz w:val="24"/>
      <w:szCs w:val="24"/>
    </w:rPr>
  </w:style>
  <w:style w:type="paragraph" w:styleId="Ttulo5">
    <w:name w:val="heading 5"/>
    <w:basedOn w:val="Normal"/>
    <w:next w:val="Normal"/>
    <w:pPr>
      <w:keepNext/>
      <w:jc w:val="center"/>
      <w:outlineLvl w:val="4"/>
    </w:pPr>
    <w:rPr>
      <w:sz w:val="24"/>
      <w:szCs w:val="24"/>
    </w:rPr>
  </w:style>
  <w:style w:type="paragraph" w:styleId="Ttulo6">
    <w:name w:val="heading 6"/>
    <w:basedOn w:val="Normal"/>
    <w:next w:val="Normal"/>
    <w:pPr>
      <w:keepNext/>
      <w:jc w:val="center"/>
      <w:outlineLvl w:val="5"/>
    </w:pPr>
    <w:rPr>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0" w:type="dxa"/>
        <w:left w:w="108" w:type="dxa"/>
        <w:bottom w:w="0" w:type="dxa"/>
        <w:right w:w="108" w:type="dxa"/>
      </w:tblCellMar>
    </w:tblPr>
  </w:style>
  <w:style w:type="table" w:customStyle="1" w:styleId="af0">
    <w:basedOn w:val="TableNormal3"/>
    <w:tblPr>
      <w:tblStyleRowBandSize w:val="1"/>
      <w:tblStyleColBandSize w:val="1"/>
      <w:tblCellMar>
        <w:top w:w="0" w:type="dxa"/>
        <w:left w:w="108" w:type="dxa"/>
        <w:bottom w:w="0" w:type="dxa"/>
        <w:right w:w="108"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0" w:type="dxa"/>
        <w:left w:w="108" w:type="dxa"/>
        <w:bottom w:w="0" w:type="dxa"/>
        <w:right w:w="108"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table" w:customStyle="1" w:styleId="af7">
    <w:basedOn w:val="TableNormal3"/>
    <w:tblPr>
      <w:tblStyleRowBandSize w:val="1"/>
      <w:tblStyleColBandSize w:val="1"/>
      <w:tblCellMar>
        <w:top w:w="0" w:type="dxa"/>
        <w:left w:w="108" w:type="dxa"/>
        <w:bottom w:w="0" w:type="dxa"/>
        <w:right w:w="108" w:type="dxa"/>
      </w:tblCellMar>
    </w:tblPr>
  </w:style>
  <w:style w:type="table" w:customStyle="1" w:styleId="af8">
    <w:basedOn w:val="TableNormal3"/>
    <w:tblPr>
      <w:tblStyleRowBandSize w:val="1"/>
      <w:tblStyleColBandSize w:val="1"/>
      <w:tblCellMar>
        <w:top w:w="0" w:type="dxa"/>
        <w:left w:w="108" w:type="dxa"/>
        <w:bottom w:w="0" w:type="dxa"/>
        <w:right w:w="108"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top w:w="0" w:type="dxa"/>
        <w:left w:w="108" w:type="dxa"/>
        <w:bottom w:w="0" w:type="dxa"/>
        <w:right w:w="108"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814785"/>
    <w:rPr>
      <w:rFonts w:ascii="Tahoma" w:hAnsi="Tahoma" w:cs="Tahoma"/>
      <w:sz w:val="16"/>
      <w:szCs w:val="16"/>
    </w:rPr>
  </w:style>
  <w:style w:type="character" w:customStyle="1" w:styleId="TextodebaloChar">
    <w:name w:val="Texto de balão Char"/>
    <w:basedOn w:val="Fontepargpadro"/>
    <w:link w:val="Textodebalo"/>
    <w:uiPriority w:val="99"/>
    <w:semiHidden/>
    <w:rsid w:val="00814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br/pncp/pt-b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ncodeprecos.com.br/Account/Acces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sdDuX5U8IOnxjrz3bMNQKHpELg==">CgMxLjAyDmguMnZ5cGRmZW9ub2xhMg5oLjNqMWMwbzJoMWJuYzIIaC5namRneHM4AHIhMUhTM3lJM2s3QXo4TzR4OW9xS1RNbWtRUHNQeHE3ZlFj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9030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2024-02-16T13:54:00Z</dcterms:created>
  <dcterms:modified xsi:type="dcterms:W3CDTF">2024-02-16T13:54:00Z</dcterms:modified>
</cp:coreProperties>
</file>